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252" w:type="dxa"/>
        <w:tblLayout w:type="fixed"/>
        <w:tblLook w:val="0000" w:firstRow="0" w:lastRow="0" w:firstColumn="0" w:lastColumn="0" w:noHBand="0" w:noVBand="0"/>
      </w:tblPr>
      <w:tblGrid>
        <w:gridCol w:w="3870"/>
        <w:gridCol w:w="5670"/>
      </w:tblGrid>
      <w:tr w:rsidR="00614B41" w:rsidRPr="006075CD" w14:paraId="25450C72" w14:textId="77777777">
        <w:trPr>
          <w:trHeight w:val="701"/>
        </w:trPr>
        <w:tc>
          <w:tcPr>
            <w:tcW w:w="3870" w:type="dxa"/>
          </w:tcPr>
          <w:p w14:paraId="63B07DEC" w14:textId="77777777" w:rsidR="00614B41" w:rsidRPr="00741E32" w:rsidRDefault="00614B41" w:rsidP="00614B41">
            <w:pPr>
              <w:pStyle w:val="Heading1"/>
              <w:spacing w:before="0" w:beforeAutospacing="0" w:after="0" w:afterAutospacing="0"/>
              <w:jc w:val="center"/>
              <w:rPr>
                <w:b w:val="0"/>
                <w:sz w:val="26"/>
                <w:szCs w:val="26"/>
              </w:rPr>
            </w:pPr>
            <w:r w:rsidRPr="00741E32">
              <w:rPr>
                <w:b w:val="0"/>
                <w:sz w:val="26"/>
                <w:szCs w:val="26"/>
              </w:rPr>
              <w:t>UBND TỈNH QUẢNG NGÃI</w:t>
            </w:r>
          </w:p>
          <w:p w14:paraId="04DBA8AB" w14:textId="2DC226B9" w:rsidR="00614B41" w:rsidRPr="00741E32" w:rsidRDefault="006016FA" w:rsidP="00614B41">
            <w:pPr>
              <w:pStyle w:val="Heading1"/>
              <w:spacing w:before="0" w:beforeAutospacing="0" w:after="0" w:afterAutospacing="0"/>
              <w:jc w:val="center"/>
              <w:rPr>
                <w:rStyle w:val="bigtitle1"/>
                <w:bCs/>
                <w:color w:val="auto"/>
              </w:rPr>
            </w:pPr>
            <w:r w:rsidRPr="00741E32">
              <w:rPr>
                <w:noProof/>
                <w:sz w:val="26"/>
                <w:szCs w:val="26"/>
              </w:rPr>
              <mc:AlternateContent>
                <mc:Choice Requires="wps">
                  <w:drawing>
                    <wp:anchor distT="0" distB="0" distL="114300" distR="114300" simplePos="0" relativeHeight="251657728" behindDoc="0" locked="0" layoutInCell="1" allowOverlap="1" wp14:anchorId="3F3D1BB0" wp14:editId="4EA1BC50">
                      <wp:simplePos x="0" y="0"/>
                      <wp:positionH relativeFrom="column">
                        <wp:posOffset>636270</wp:posOffset>
                      </wp:positionH>
                      <wp:positionV relativeFrom="paragraph">
                        <wp:posOffset>203835</wp:posOffset>
                      </wp:positionV>
                      <wp:extent cx="1143000" cy="0"/>
                      <wp:effectExtent l="13970" t="8890" r="5080" b="10160"/>
                      <wp:wrapNone/>
                      <wp:docPr id="4788396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DEA38"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6.05pt" to="14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"/>
                  </w:pict>
                </mc:Fallback>
              </mc:AlternateContent>
            </w:r>
            <w:r w:rsidR="00614B41" w:rsidRPr="00741E32">
              <w:rPr>
                <w:sz w:val="26"/>
                <w:szCs w:val="26"/>
              </w:rPr>
              <w:t>SỞ GIÁO DỤC VÀ ĐÀO TẠO</w:t>
            </w:r>
          </w:p>
        </w:tc>
        <w:tc>
          <w:tcPr>
            <w:tcW w:w="5670" w:type="dxa"/>
          </w:tcPr>
          <w:p w14:paraId="79E26B1B" w14:textId="77777777" w:rsidR="00614B41" w:rsidRPr="00741E32" w:rsidRDefault="00614B41" w:rsidP="00614B41">
            <w:pPr>
              <w:pStyle w:val="Heading4"/>
              <w:spacing w:before="0" w:after="0"/>
              <w:jc w:val="center"/>
              <w:rPr>
                <w:rFonts w:ascii="Times New Roman" w:hAnsi="Times New Roman"/>
                <w:sz w:val="26"/>
                <w:szCs w:val="26"/>
                <w:lang w:val="vi-VN"/>
              </w:rPr>
            </w:pPr>
            <w:r w:rsidRPr="00741E32">
              <w:rPr>
                <w:rFonts w:ascii="Times New Roman" w:hAnsi="Times New Roman"/>
                <w:sz w:val="26"/>
                <w:szCs w:val="26"/>
                <w:lang w:val="vi-VN"/>
              </w:rPr>
              <w:t>CỘNG HÒA XÃ HỘI CHỦ NGHĨA VIỆT NAM</w:t>
            </w:r>
          </w:p>
          <w:p w14:paraId="7E33D37B" w14:textId="48CF2F79" w:rsidR="00614B41" w:rsidRPr="00741E32" w:rsidRDefault="006016FA" w:rsidP="00614B41">
            <w:pPr>
              <w:pStyle w:val="Heading4"/>
              <w:spacing w:before="0" w:after="0"/>
              <w:jc w:val="center"/>
              <w:rPr>
                <w:rStyle w:val="bigtitle1"/>
                <w:rFonts w:ascii="Times New Roman" w:hAnsi="Times New Roman"/>
                <w:b/>
                <w:bCs/>
                <w:color w:val="auto"/>
                <w:lang w:val="vi-VN"/>
              </w:rPr>
            </w:pPr>
            <w:r w:rsidRPr="00741E32">
              <w:rPr>
                <w:rFonts w:ascii="Times New Roman" w:hAnsi="Times New Roman"/>
                <w:noProof/>
                <w:sz w:val="26"/>
                <w:szCs w:val="26"/>
                <w:lang w:val="vi-VN"/>
              </w:rPr>
              <mc:AlternateContent>
                <mc:Choice Requires="wps">
                  <w:drawing>
                    <wp:anchor distT="0" distB="0" distL="114300" distR="114300" simplePos="0" relativeHeight="251658752" behindDoc="0" locked="0" layoutInCell="1" allowOverlap="1" wp14:anchorId="265C0BB3" wp14:editId="0D712618">
                      <wp:simplePos x="0" y="0"/>
                      <wp:positionH relativeFrom="column">
                        <wp:posOffset>769620</wp:posOffset>
                      </wp:positionH>
                      <wp:positionV relativeFrom="paragraph">
                        <wp:posOffset>213995</wp:posOffset>
                      </wp:positionV>
                      <wp:extent cx="1929765" cy="0"/>
                      <wp:effectExtent l="13970" t="9525" r="8890" b="9525"/>
                      <wp:wrapNone/>
                      <wp:docPr id="86323339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A17C5"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6.85pt" to="212.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Oz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"/>
                  </w:pict>
                </mc:Fallback>
              </mc:AlternateContent>
            </w:r>
            <w:r w:rsidR="00614B41" w:rsidRPr="00741E32">
              <w:rPr>
                <w:rFonts w:ascii="Times New Roman" w:hAnsi="Times New Roman"/>
                <w:sz w:val="26"/>
                <w:szCs w:val="26"/>
                <w:lang w:val="vi-VN"/>
              </w:rPr>
              <w:t>Độc lập - Tự do - Hạnh phúc</w:t>
            </w:r>
          </w:p>
        </w:tc>
      </w:tr>
      <w:tr w:rsidR="00614B41" w:rsidRPr="00741E32" w14:paraId="066FF161" w14:textId="77777777">
        <w:tc>
          <w:tcPr>
            <w:tcW w:w="3870" w:type="dxa"/>
          </w:tcPr>
          <w:p w14:paraId="64FB4781" w14:textId="77777777" w:rsidR="00614B41" w:rsidRPr="00741E32" w:rsidRDefault="00614B41" w:rsidP="00614B41">
            <w:pPr>
              <w:pStyle w:val="Heading1"/>
              <w:spacing w:before="0" w:beforeAutospacing="0" w:after="0" w:afterAutospacing="0"/>
              <w:jc w:val="center"/>
              <w:rPr>
                <w:rStyle w:val="bigtitle1"/>
                <w:bCs/>
                <w:color w:val="auto"/>
              </w:rPr>
            </w:pPr>
            <w:r w:rsidRPr="00741E32">
              <w:rPr>
                <w:b w:val="0"/>
                <w:sz w:val="26"/>
                <w:szCs w:val="26"/>
              </w:rPr>
              <w:t>Số:          /</w:t>
            </w:r>
            <w:r w:rsidRPr="00741E32">
              <w:rPr>
                <w:b w:val="0"/>
                <w:sz w:val="26"/>
                <w:szCs w:val="26"/>
                <w:lang w:val="en-US"/>
              </w:rPr>
              <w:t>BC</w:t>
            </w:r>
            <w:r w:rsidRPr="00741E32">
              <w:rPr>
                <w:b w:val="0"/>
                <w:sz w:val="26"/>
                <w:szCs w:val="26"/>
              </w:rPr>
              <w:t>-SGDĐT</w:t>
            </w:r>
          </w:p>
        </w:tc>
        <w:tc>
          <w:tcPr>
            <w:tcW w:w="5670" w:type="dxa"/>
          </w:tcPr>
          <w:p w14:paraId="16F314C1" w14:textId="2A3FBBA0" w:rsidR="00614B41" w:rsidRPr="00741E32" w:rsidRDefault="00614B41" w:rsidP="00567331">
            <w:pPr>
              <w:pStyle w:val="Heading4"/>
              <w:spacing w:before="0" w:after="0"/>
              <w:jc w:val="center"/>
              <w:rPr>
                <w:rStyle w:val="bigtitle1"/>
                <w:rFonts w:ascii="Times New Roman" w:hAnsi="Times New Roman"/>
                <w:b/>
                <w:bCs/>
                <w:i/>
                <w:color w:val="auto"/>
                <w:lang w:val="en-US"/>
              </w:rPr>
            </w:pPr>
            <w:r w:rsidRPr="00741E32">
              <w:rPr>
                <w:rFonts w:ascii="Times New Roman" w:hAnsi="Times New Roman"/>
                <w:b w:val="0"/>
                <w:i/>
                <w:sz w:val="26"/>
                <w:szCs w:val="26"/>
                <w:lang w:val="vi-VN"/>
              </w:rPr>
              <w:t xml:space="preserve">Quảng Ngãi, ngày  </w:t>
            </w:r>
            <w:r w:rsidRPr="00741E32">
              <w:rPr>
                <w:rFonts w:ascii="Times New Roman" w:hAnsi="Times New Roman"/>
                <w:b w:val="0"/>
                <w:i/>
                <w:sz w:val="26"/>
                <w:szCs w:val="26"/>
              </w:rPr>
              <w:t xml:space="preserve"> </w:t>
            </w:r>
            <w:r w:rsidR="00E76269" w:rsidRPr="00741E32">
              <w:rPr>
                <w:rFonts w:ascii="Times New Roman" w:hAnsi="Times New Roman"/>
                <w:b w:val="0"/>
                <w:i/>
                <w:sz w:val="26"/>
                <w:szCs w:val="26"/>
              </w:rPr>
              <w:t xml:space="preserve">  </w:t>
            </w:r>
            <w:r w:rsidRPr="00741E32">
              <w:rPr>
                <w:rFonts w:ascii="Times New Roman" w:hAnsi="Times New Roman"/>
                <w:b w:val="0"/>
                <w:i/>
                <w:sz w:val="26"/>
                <w:szCs w:val="26"/>
              </w:rPr>
              <w:t xml:space="preserve">  </w:t>
            </w:r>
            <w:r w:rsidR="00AF23D1" w:rsidRPr="00741E32">
              <w:rPr>
                <w:rFonts w:ascii="Times New Roman" w:hAnsi="Times New Roman"/>
                <w:b w:val="0"/>
                <w:i/>
                <w:sz w:val="26"/>
                <w:szCs w:val="26"/>
                <w:lang w:val="vi-VN"/>
              </w:rPr>
              <w:t xml:space="preserve"> thán</w:t>
            </w:r>
            <w:r w:rsidR="00AF23D1" w:rsidRPr="00741E32">
              <w:rPr>
                <w:rFonts w:ascii="Times New Roman" w:hAnsi="Times New Roman"/>
                <w:b w:val="0"/>
                <w:i/>
                <w:sz w:val="26"/>
                <w:szCs w:val="26"/>
                <w:lang w:val="en-US"/>
              </w:rPr>
              <w:t xml:space="preserve">g </w:t>
            </w:r>
            <w:r w:rsidR="000C4B89" w:rsidRPr="00741E32">
              <w:rPr>
                <w:rFonts w:ascii="Times New Roman" w:hAnsi="Times New Roman"/>
                <w:b w:val="0"/>
                <w:i/>
                <w:sz w:val="26"/>
                <w:szCs w:val="26"/>
                <w:lang w:val="en-US"/>
              </w:rPr>
              <w:t>4</w:t>
            </w:r>
            <w:r w:rsidR="00AF23D1" w:rsidRPr="00741E32">
              <w:rPr>
                <w:rFonts w:ascii="Times New Roman" w:hAnsi="Times New Roman"/>
                <w:b w:val="0"/>
                <w:i/>
                <w:sz w:val="26"/>
                <w:szCs w:val="26"/>
                <w:lang w:val="en-US"/>
              </w:rPr>
              <w:t xml:space="preserve"> </w:t>
            </w:r>
            <w:r w:rsidRPr="00741E32">
              <w:rPr>
                <w:rFonts w:ascii="Times New Roman" w:hAnsi="Times New Roman"/>
                <w:b w:val="0"/>
                <w:i/>
                <w:sz w:val="26"/>
                <w:szCs w:val="26"/>
                <w:lang w:val="vi-VN"/>
              </w:rPr>
              <w:t>năm 20</w:t>
            </w:r>
            <w:r w:rsidR="00E76269" w:rsidRPr="00741E32">
              <w:rPr>
                <w:rFonts w:ascii="Times New Roman" w:hAnsi="Times New Roman"/>
                <w:b w:val="0"/>
                <w:i/>
                <w:sz w:val="26"/>
                <w:szCs w:val="26"/>
                <w:lang w:val="en-US"/>
              </w:rPr>
              <w:t>2</w:t>
            </w:r>
            <w:r w:rsidR="00242A50" w:rsidRPr="00741E32">
              <w:rPr>
                <w:rFonts w:ascii="Times New Roman" w:hAnsi="Times New Roman"/>
                <w:b w:val="0"/>
                <w:i/>
                <w:sz w:val="26"/>
                <w:szCs w:val="26"/>
                <w:lang w:val="en-US"/>
              </w:rPr>
              <w:t>6</w:t>
            </w:r>
          </w:p>
        </w:tc>
      </w:tr>
    </w:tbl>
    <w:p w14:paraId="0F8BD1BC" w14:textId="7E30C148" w:rsidR="00614B41" w:rsidRPr="00741E32" w:rsidRDefault="00244497" w:rsidP="00614B41">
      <w:pPr>
        <w:shd w:val="clear" w:color="auto" w:fill="FFFFFF"/>
        <w:spacing w:after="120" w:line="276" w:lineRule="auto"/>
        <w:jc w:val="both"/>
        <w:rPr>
          <w:b/>
          <w:bCs/>
          <w:sz w:val="28"/>
          <w:szCs w:val="28"/>
        </w:rPr>
      </w:pPr>
      <w:r w:rsidRPr="00741E32">
        <w:rPr>
          <w:b/>
          <w:bCs/>
          <w:noProof/>
          <w:sz w:val="28"/>
          <w:szCs w:val="28"/>
        </w:rPr>
        <mc:AlternateContent>
          <mc:Choice Requires="wps">
            <w:drawing>
              <wp:anchor distT="0" distB="0" distL="114300" distR="114300" simplePos="0" relativeHeight="251659776" behindDoc="0" locked="0" layoutInCell="1" allowOverlap="1" wp14:anchorId="2F73D693" wp14:editId="3A37DD34">
                <wp:simplePos x="0" y="0"/>
                <wp:positionH relativeFrom="column">
                  <wp:posOffset>485057</wp:posOffset>
                </wp:positionH>
                <wp:positionV relativeFrom="paragraph">
                  <wp:posOffset>122527</wp:posOffset>
                </wp:positionV>
                <wp:extent cx="1080052" cy="324679"/>
                <wp:effectExtent l="0" t="0" r="25400" b="18415"/>
                <wp:wrapNone/>
                <wp:docPr id="466665645" name="Text Box 4"/>
                <wp:cNvGraphicFramePr/>
                <a:graphic xmlns:a="http://schemas.openxmlformats.org/drawingml/2006/main">
                  <a:graphicData uri="http://schemas.microsoft.com/office/word/2010/wordprocessingShape">
                    <wps:wsp>
                      <wps:cNvSpPr txBox="1"/>
                      <wps:spPr>
                        <a:xfrm>
                          <a:off x="0" y="0"/>
                          <a:ext cx="1080052" cy="324679"/>
                        </a:xfrm>
                        <a:prstGeom prst="rect">
                          <a:avLst/>
                        </a:prstGeom>
                        <a:solidFill>
                          <a:schemeClr val="lt1"/>
                        </a:solidFill>
                        <a:ln w="6350">
                          <a:solidFill>
                            <a:prstClr val="black"/>
                          </a:solidFill>
                        </a:ln>
                      </wps:spPr>
                      <wps:txbx>
                        <w:txbxContent>
                          <w:p w14:paraId="701A125A" w14:textId="7F02F67A" w:rsidR="00244497" w:rsidRPr="00244497" w:rsidRDefault="00244497">
                            <w:pPr>
                              <w:rPr>
                                <w:b/>
                                <w:bCs/>
                              </w:rPr>
                            </w:pPr>
                            <w:r w:rsidRPr="00244497">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73D693" id="_x0000_t202" coordsize="21600,21600" o:spt="202" path="m,l,21600r21600,l21600,xe">
                <v:stroke joinstyle="miter"/>
                <v:path gradientshapeok="t" o:connecttype="rect"/>
              </v:shapetype>
              <v:shape id="Text Box 4" o:spid="_x0000_s1026" type="#_x0000_t202" style="position:absolute;left:0;text-align:left;margin-left:38.2pt;margin-top:9.65pt;width:85.05pt;height:25.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MSOAIAAHw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" fillcolor="white [3201]" strokeweight=".5pt">
                <v:textbox>
                  <w:txbxContent>
                    <w:p w14:paraId="701A125A" w14:textId="7F02F67A" w:rsidR="00244497" w:rsidRPr="00244497" w:rsidRDefault="00244497">
                      <w:pPr>
                        <w:rPr>
                          <w:b/>
                          <w:bCs/>
                        </w:rPr>
                      </w:pPr>
                      <w:r w:rsidRPr="00244497">
                        <w:rPr>
                          <w:b/>
                          <w:bCs/>
                        </w:rPr>
                        <w:t>DỰ THẢO</w:t>
                      </w:r>
                    </w:p>
                  </w:txbxContent>
                </v:textbox>
              </v:shape>
            </w:pict>
          </mc:Fallback>
        </mc:AlternateContent>
      </w:r>
    </w:p>
    <w:p w14:paraId="6125784B" w14:textId="77777777" w:rsidR="00244497" w:rsidRPr="00741E32" w:rsidRDefault="00244497" w:rsidP="004B7736">
      <w:pPr>
        <w:shd w:val="clear" w:color="auto" w:fill="FFFFFF"/>
        <w:jc w:val="center"/>
        <w:rPr>
          <w:b/>
          <w:bCs/>
          <w:sz w:val="28"/>
          <w:szCs w:val="28"/>
        </w:rPr>
      </w:pPr>
    </w:p>
    <w:p w14:paraId="68794ADB" w14:textId="10ECA292" w:rsidR="00B71FCE" w:rsidRPr="00741E32" w:rsidRDefault="00505FBE" w:rsidP="004B7736">
      <w:pPr>
        <w:shd w:val="clear" w:color="auto" w:fill="FFFFFF"/>
        <w:jc w:val="center"/>
        <w:rPr>
          <w:b/>
          <w:bCs/>
          <w:sz w:val="28"/>
          <w:szCs w:val="28"/>
        </w:rPr>
      </w:pPr>
      <w:r w:rsidRPr="00741E32">
        <w:rPr>
          <w:b/>
          <w:bCs/>
          <w:sz w:val="28"/>
          <w:szCs w:val="28"/>
        </w:rPr>
        <w:t>BÁO CÁO</w:t>
      </w:r>
    </w:p>
    <w:p w14:paraId="205BD1D7" w14:textId="2A760F6E" w:rsidR="000C4B89" w:rsidRPr="00741E32" w:rsidRDefault="00242A50" w:rsidP="004B7736">
      <w:pPr>
        <w:pStyle w:val="NormalWeb"/>
        <w:shd w:val="clear" w:color="auto" w:fill="FFFFFF"/>
        <w:spacing w:before="0" w:beforeAutospacing="0" w:after="0" w:afterAutospacing="0"/>
        <w:jc w:val="center"/>
        <w:rPr>
          <w:b/>
          <w:sz w:val="28"/>
          <w:szCs w:val="28"/>
        </w:rPr>
      </w:pPr>
      <w:r w:rsidRPr="00741E32">
        <w:rPr>
          <w:b/>
          <w:sz w:val="28"/>
          <w:szCs w:val="28"/>
        </w:rPr>
        <w:t xml:space="preserve">Đánh giá tác động của chính sách </w:t>
      </w:r>
      <w:r w:rsidR="000C4B89" w:rsidRPr="00741E32">
        <w:rPr>
          <w:b/>
          <w:sz w:val="28"/>
          <w:szCs w:val="28"/>
          <w:lang w:val="vi-VN"/>
        </w:rPr>
        <w:t xml:space="preserve">Quy định mức hỗ trợ cho cơ sở giáo dục mầm non </w:t>
      </w:r>
      <w:r w:rsidR="000C4B89" w:rsidRPr="00741E32">
        <w:rPr>
          <w:b/>
          <w:sz w:val="28"/>
          <w:szCs w:val="28"/>
        </w:rPr>
        <w:t>độc lập,</w:t>
      </w:r>
      <w:r w:rsidR="000C4B89" w:rsidRPr="00741E32">
        <w:rPr>
          <w:b/>
          <w:sz w:val="28"/>
          <w:szCs w:val="28"/>
          <w:lang w:val="vi-VN"/>
        </w:rPr>
        <w:t xml:space="preserve"> trẻ em và</w:t>
      </w:r>
      <w:r w:rsidR="000C4B89" w:rsidRPr="00741E32">
        <w:rPr>
          <w:b/>
          <w:sz w:val="28"/>
          <w:szCs w:val="28"/>
        </w:rPr>
        <w:t xml:space="preserve"> </w:t>
      </w:r>
      <w:r w:rsidR="000C4B89" w:rsidRPr="00741E32">
        <w:rPr>
          <w:b/>
          <w:sz w:val="28"/>
          <w:szCs w:val="28"/>
          <w:lang w:val="vi-VN"/>
        </w:rPr>
        <w:t>giáo viên</w:t>
      </w:r>
      <w:r w:rsidR="000C4B89" w:rsidRPr="00741E32">
        <w:rPr>
          <w:b/>
          <w:sz w:val="28"/>
          <w:szCs w:val="28"/>
        </w:rPr>
        <w:t xml:space="preserve"> ở </w:t>
      </w:r>
      <w:r w:rsidR="000C4B89" w:rsidRPr="00741E32">
        <w:rPr>
          <w:b/>
          <w:sz w:val="28"/>
          <w:szCs w:val="28"/>
          <w:lang w:val="vi-VN"/>
        </w:rPr>
        <w:t xml:space="preserve">cơ sở giáo dục mầm non </w:t>
      </w:r>
      <w:r w:rsidR="000C4B89" w:rsidRPr="00741E32">
        <w:rPr>
          <w:b/>
          <w:sz w:val="28"/>
          <w:szCs w:val="28"/>
        </w:rPr>
        <w:t>ngoài công lập trên</w:t>
      </w:r>
      <w:r w:rsidR="000C4B89" w:rsidRPr="00741E32">
        <w:rPr>
          <w:b/>
          <w:sz w:val="28"/>
          <w:szCs w:val="28"/>
          <w:lang w:val="vi-VN"/>
        </w:rPr>
        <w:t xml:space="preserve"> địa bàn có khu công nghiệp</w:t>
      </w:r>
      <w:r w:rsidR="000C4B89" w:rsidRPr="00741E32">
        <w:rPr>
          <w:b/>
          <w:sz w:val="28"/>
          <w:szCs w:val="28"/>
        </w:rPr>
        <w:t xml:space="preserve"> </w:t>
      </w:r>
      <w:r w:rsidR="000C4B89" w:rsidRPr="00741E32">
        <w:rPr>
          <w:b/>
          <w:sz w:val="28"/>
          <w:szCs w:val="28"/>
          <w:lang w:val="vi-VN"/>
        </w:rPr>
        <w:t xml:space="preserve">tỉnh </w:t>
      </w:r>
      <w:r w:rsidR="000C4B89" w:rsidRPr="00741E32">
        <w:rPr>
          <w:b/>
          <w:sz w:val="28"/>
          <w:szCs w:val="28"/>
          <w:shd w:val="clear" w:color="auto" w:fill="FFFFFF"/>
          <w:lang w:val="sv-SE"/>
        </w:rPr>
        <w:t>Quảng Ngãi</w:t>
      </w:r>
    </w:p>
    <w:p w14:paraId="1F641EAE" w14:textId="7052A1C7" w:rsidR="0095559D" w:rsidRPr="00741E32" w:rsidRDefault="0095559D" w:rsidP="000C4B89">
      <w:pPr>
        <w:shd w:val="clear" w:color="auto" w:fill="FFFFFF"/>
        <w:spacing w:after="120" w:line="276" w:lineRule="auto"/>
        <w:jc w:val="both"/>
        <w:rPr>
          <w:rFonts w:eastAsia="Georgia"/>
          <w:b/>
          <w:sz w:val="28"/>
          <w:szCs w:val="28"/>
        </w:rPr>
      </w:pPr>
      <w:r w:rsidRPr="00741E32">
        <w:rPr>
          <w:bCs/>
          <w:noProof/>
          <w:sz w:val="28"/>
          <w:szCs w:val="28"/>
        </w:rPr>
        <mc:AlternateContent>
          <mc:Choice Requires="wps">
            <w:drawing>
              <wp:anchor distT="0" distB="0" distL="114300" distR="114300" simplePos="0" relativeHeight="251656704" behindDoc="0" locked="0" layoutInCell="1" allowOverlap="1" wp14:anchorId="3439A6EC" wp14:editId="2D154442">
                <wp:simplePos x="0" y="0"/>
                <wp:positionH relativeFrom="page">
                  <wp:align>center</wp:align>
                </wp:positionH>
                <wp:positionV relativeFrom="paragraph">
                  <wp:posOffset>12617</wp:posOffset>
                </wp:positionV>
                <wp:extent cx="1143000" cy="0"/>
                <wp:effectExtent l="0" t="0" r="0" b="0"/>
                <wp:wrapNone/>
                <wp:docPr id="3347124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14AC9" id="Line 4" o:spid="_x0000_s1026"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pt" to="9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">
                <w10:wrap anchorx="page"/>
              </v:line>
            </w:pict>
          </mc:Fallback>
        </mc:AlternateContent>
      </w:r>
    </w:p>
    <w:p w14:paraId="148EB815" w14:textId="7252DF6F" w:rsidR="0086248C" w:rsidRPr="00741E32" w:rsidRDefault="0086248C" w:rsidP="00A24779">
      <w:pPr>
        <w:shd w:val="clear" w:color="auto" w:fill="FFFFFF"/>
        <w:spacing w:before="80"/>
        <w:ind w:firstLine="720"/>
        <w:jc w:val="both"/>
        <w:rPr>
          <w:sz w:val="28"/>
          <w:szCs w:val="28"/>
        </w:rPr>
      </w:pPr>
      <w:bookmarkStart w:id="0" w:name="i_xác_định_vấn_đề"/>
      <w:bookmarkStart w:id="1" w:name="loai_48"/>
      <w:r w:rsidRPr="00741E32">
        <w:rPr>
          <w:rFonts w:eastAsia="Georgia"/>
          <w:b/>
          <w:sz w:val="28"/>
          <w:szCs w:val="28"/>
        </w:rPr>
        <w:t>I. XÁC ĐỊNH VẤN ĐỀ</w:t>
      </w:r>
      <w:bookmarkStart w:id="2" w:name="bm_1_bối_cảnh_xây_dựng_chính_sách"/>
      <w:bookmarkEnd w:id="0"/>
    </w:p>
    <w:p w14:paraId="4238A770" w14:textId="77777777" w:rsidR="0086248C" w:rsidRPr="00741E32" w:rsidRDefault="0086248C" w:rsidP="00A24779">
      <w:pPr>
        <w:spacing w:before="80"/>
        <w:ind w:firstLine="720"/>
        <w:rPr>
          <w:sz w:val="28"/>
          <w:szCs w:val="28"/>
        </w:rPr>
      </w:pPr>
      <w:r w:rsidRPr="00741E32">
        <w:rPr>
          <w:rFonts w:eastAsia="Georgia"/>
          <w:b/>
          <w:sz w:val="28"/>
          <w:szCs w:val="28"/>
        </w:rPr>
        <w:t>1. Bối cảnh xây dựng chính sách</w:t>
      </w:r>
      <w:bookmarkStart w:id="3" w:name="bm_1_1_bối_cảnh_trong_nước"/>
      <w:bookmarkEnd w:id="2"/>
    </w:p>
    <w:p w14:paraId="47C22E2D" w14:textId="093900A0" w:rsidR="0086248C" w:rsidRPr="00741E32" w:rsidRDefault="0086248C" w:rsidP="00BA585B">
      <w:pPr>
        <w:spacing w:before="80"/>
        <w:ind w:firstLine="720"/>
        <w:rPr>
          <w:i/>
          <w:sz w:val="28"/>
          <w:szCs w:val="28"/>
        </w:rPr>
      </w:pPr>
      <w:r w:rsidRPr="00741E32">
        <w:rPr>
          <w:rFonts w:eastAsia="Georgia"/>
          <w:b/>
          <w:sz w:val="28"/>
          <w:szCs w:val="28"/>
        </w:rPr>
        <w:t xml:space="preserve">1.1. Bối </w:t>
      </w:r>
      <w:r w:rsidRPr="00BA585B">
        <w:rPr>
          <w:rFonts w:eastAsia="Georgia"/>
          <w:b/>
          <w:sz w:val="28"/>
          <w:szCs w:val="28"/>
        </w:rPr>
        <w:t xml:space="preserve">cảnh </w:t>
      </w:r>
      <w:bookmarkEnd w:id="3"/>
      <w:r w:rsidR="00BA585B" w:rsidRPr="00BA585B">
        <w:rPr>
          <w:rFonts w:eastAsia="Georgia"/>
          <w:b/>
          <w:sz w:val="28"/>
          <w:szCs w:val="28"/>
        </w:rPr>
        <w:t>p</w:t>
      </w:r>
      <w:r w:rsidRPr="00BA585B">
        <w:rPr>
          <w:b/>
          <w:sz w:val="28"/>
          <w:szCs w:val="28"/>
        </w:rPr>
        <w:t>háp lý</w:t>
      </w:r>
    </w:p>
    <w:p w14:paraId="13AE7A46" w14:textId="77777777" w:rsidR="00DC60D5" w:rsidRPr="00741E32" w:rsidRDefault="00DC60D5" w:rsidP="00A24779">
      <w:pPr>
        <w:spacing w:before="80"/>
        <w:ind w:firstLine="720"/>
        <w:jc w:val="both"/>
        <w:rPr>
          <w:sz w:val="28"/>
          <w:szCs w:val="28"/>
          <w:lang w:val="en-US" w:eastAsia="en-US"/>
        </w:rPr>
      </w:pPr>
      <w:r w:rsidRPr="00741E32">
        <w:rPr>
          <w:sz w:val="28"/>
          <w:szCs w:val="28"/>
          <w:lang w:val="it-IT" w:eastAsia="vi-VN" w:bidi="vi-VN"/>
        </w:rPr>
        <w:t>Sau khi Nghị quyết số 202/2025/QH15 ngày 12/6/2025 của Quốc hội về việc sắp xếp đơn vị hành chính cấp tỉnh; Nghị quyết số 28/NQ-HĐND ngày 28/4/2025 của Hội đồng nhân dân tỉnh Quảng Ngãi về việc tán thành chủ trương hợp nhất tỉnh Kon Tum và tỉnh Quảng Ngãi</w:t>
      </w:r>
      <w:r w:rsidRPr="00741E32">
        <w:rPr>
          <w:bCs/>
          <w:iCs/>
          <w:sz w:val="28"/>
          <w:szCs w:val="28"/>
          <w:lang w:val="it-IT"/>
        </w:rPr>
        <w:t xml:space="preserve"> đi vào thực tiễn, từ ngày 01/7/2025, </w:t>
      </w:r>
      <w:r w:rsidRPr="00741E32">
        <w:rPr>
          <w:bCs/>
          <w:iCs/>
          <w:sz w:val="28"/>
          <w:szCs w:val="28"/>
          <w:lang w:val="en-US"/>
        </w:rPr>
        <w:t>trên địa bàn tỉnh Quảng Ngãi tồn tại hai chính sách hỗ trợ giáo dục mầm non khác nhau</w:t>
      </w:r>
      <w:r w:rsidRPr="00741E32">
        <w:rPr>
          <w:rStyle w:val="FootnoteReference"/>
          <w:bCs/>
          <w:iCs/>
          <w:sz w:val="28"/>
          <w:szCs w:val="28"/>
          <w:lang w:val="en-US"/>
        </w:rPr>
        <w:footnoteReference w:id="1"/>
      </w:r>
      <w:r w:rsidRPr="00741E32">
        <w:rPr>
          <w:bCs/>
          <w:iCs/>
          <w:sz w:val="28"/>
          <w:szCs w:val="28"/>
          <w:lang w:val="en-US"/>
        </w:rPr>
        <w:t xml:space="preserve"> dẫn tới thiếu </w:t>
      </w:r>
      <w:r w:rsidRPr="00741E32">
        <w:rPr>
          <w:sz w:val="28"/>
          <w:szCs w:val="28"/>
          <w:lang w:val="en-US" w:eastAsia="en-US"/>
        </w:rPr>
        <w:t>thống nhất trong thực thi chính sách giữa các địa bàn; giảm hiệu quả của các chính sách an sinh xã hội dành cho công nhân tại khu vực có khu công nghiệp, nơi có nhiều lao động.</w:t>
      </w:r>
    </w:p>
    <w:p w14:paraId="279597F6" w14:textId="77777777" w:rsidR="00DC60D5" w:rsidRPr="00741E32" w:rsidRDefault="00DC60D5" w:rsidP="00A24779">
      <w:pPr>
        <w:spacing w:before="80"/>
        <w:ind w:firstLine="720"/>
        <w:jc w:val="both"/>
        <w:rPr>
          <w:bCs/>
          <w:iCs/>
          <w:sz w:val="28"/>
          <w:szCs w:val="28"/>
          <w:lang w:val="en-US"/>
        </w:rPr>
      </w:pPr>
      <w:r w:rsidRPr="00741E32">
        <w:rPr>
          <w:bCs/>
          <w:iCs/>
          <w:sz w:val="28"/>
          <w:szCs w:val="28"/>
          <w:lang w:val="en-US"/>
        </w:rPr>
        <w:t xml:space="preserve">Thực hiện </w:t>
      </w:r>
      <w:r w:rsidRPr="00741E32">
        <w:rPr>
          <w:sz w:val="28"/>
          <w:szCs w:val="28"/>
          <w:lang w:val="vi-VN"/>
        </w:rPr>
        <w:t xml:space="preserve">Quyết định số 1810/QĐ-UBND ngày 11/12/2025 của Chủ tịch UBND tỉnh </w:t>
      </w:r>
      <w:r w:rsidRPr="00741E32">
        <w:rPr>
          <w:sz w:val="28"/>
          <w:szCs w:val="28"/>
          <w:lang w:val="en-US"/>
        </w:rPr>
        <w:t>b</w:t>
      </w:r>
      <w:r w:rsidRPr="00741E32">
        <w:rPr>
          <w:sz w:val="28"/>
          <w:szCs w:val="28"/>
          <w:lang w:val="vi-VN"/>
        </w:rPr>
        <w:t xml:space="preserve">an hành Kế hoạch xử lý các văn bản quy phạm pháp luật do HĐND tỉnh, UBND tỉnh Quảng Ngãi (cũ) và HĐND tỉnh, UBND tỉnh Kon Tum (cũ) ban hành; Quyết định số 511/QĐ-UBND ngày 12/02/2026 của Chủ tịch UBND tỉnh về việc </w:t>
      </w:r>
      <w:r w:rsidRPr="00741E32">
        <w:rPr>
          <w:sz w:val="28"/>
          <w:szCs w:val="28"/>
          <w:lang w:val="en-US"/>
        </w:rPr>
        <w:t>s</w:t>
      </w:r>
      <w:r w:rsidRPr="00741E32">
        <w:rPr>
          <w:sz w:val="28"/>
          <w:szCs w:val="28"/>
          <w:lang w:val="vi-VN"/>
        </w:rPr>
        <w:t>ửa đổi, bổ sung một số nội dung tại Kế hoạch xử lý các văn bản quy phạm pháp luật do HĐND tỉnh, UBND tỉnh Quảng Ngãi (cũ) và HĐND tỉnh, UBND tỉnh Kon Tum (cũ) ban hành kèm theo Quyết định số 1810/QĐ-UBND ngày 11/12/2025 của Chủ tịch UBND tỉnh Quảng Ngãi; Công văn số 44/HĐND-KTNS ngày 23/02/2026 của Ban Kinh tế-Ngân sách, Hội đồng nhân dân tỉnh về việc khẩn trương xử lý văn bản chịu sự tác động của việc sắp xếp tổ chức bộ máy.</w:t>
      </w:r>
      <w:r w:rsidRPr="00741E32">
        <w:rPr>
          <w:sz w:val="28"/>
          <w:szCs w:val="28"/>
          <w:lang w:val="en-US"/>
        </w:rPr>
        <w:t xml:space="preserve"> </w:t>
      </w:r>
      <w:r w:rsidRPr="00741E32">
        <w:rPr>
          <w:bCs/>
          <w:iCs/>
          <w:sz w:val="28"/>
          <w:szCs w:val="28"/>
          <w:lang w:val="en-US"/>
        </w:rPr>
        <w:t>Nhu cầu cấp thiết của Ngành giáo dục là hợp nhất chính sách để đảm bảo tính thống nhất, công bằng và khả thi trong toàn tỉnh mới.</w:t>
      </w:r>
    </w:p>
    <w:p w14:paraId="30F38B9D" w14:textId="77777777" w:rsidR="00DC60D5" w:rsidRPr="00741E32" w:rsidRDefault="00DC60D5" w:rsidP="00A24779">
      <w:pPr>
        <w:spacing w:before="80"/>
        <w:ind w:firstLine="720"/>
        <w:jc w:val="both"/>
        <w:rPr>
          <w:bCs/>
          <w:iCs/>
          <w:sz w:val="28"/>
          <w:szCs w:val="28"/>
          <w:lang w:val="en-US"/>
        </w:rPr>
      </w:pPr>
      <w:r w:rsidRPr="00741E32">
        <w:rPr>
          <w:sz w:val="28"/>
          <w:szCs w:val="28"/>
          <w:lang w:val="en-US" w:eastAsia="en-US"/>
        </w:rPr>
        <w:t xml:space="preserve">Hiện nay, Trung ương và địa phương đã ban hành nhiều văn bản quan trọng như: Nghị quyết số 71-NQ/TW ngày 22/8/2025 của Bộ Chính trị về đột phá phát triển giáo dục và đào tạo; Nghị quyết số 218/2025/QH15 ngày 26/6/2025 của Quốc hội về phổ cập giáo dục mầm non cho trẻ em từ 3 đến 5 tuổi; Nghị định số 277/2025/NĐ-CP ngày 20/10/2025 của Chính phủ quy định chi tiết thi hành Nghị </w:t>
      </w:r>
      <w:r w:rsidRPr="00741E32">
        <w:rPr>
          <w:sz w:val="28"/>
          <w:szCs w:val="28"/>
          <w:lang w:val="en-US" w:eastAsia="en-US"/>
        </w:rPr>
        <w:lastRenderedPageBreak/>
        <w:t>quyết số 218/2025/QH15; Quyết định số 2270/QĐ-TTg ngày 14/10/2025 của Thủ tướng Chính phủ phê duyệt Chương trình “Nâng cao chất lượng giáo dục mầm non ở địa bàn đô thị, khu công nghiệp giai đoạn 2025–2035, định hướng đến năm 2045”; Kế hoạch số 52/KH-UBND ngày 13/02/2026 của Ủy ban nhân dân tỉnh Quảng Ngãi triển khai thực hiện phổ cập giáo dục mầm non cho trẻ em từ 3 đến 5 tuổi giai đoạn 2026–2030 và Nghị định số 105/2020/NĐ-CP ngày 08/9/2020 của Chính phủ về chính sách phát triển giáo dục mầm non vẫn đang có hiệu lực thi hành.</w:t>
      </w:r>
    </w:p>
    <w:p w14:paraId="518C39BF" w14:textId="059F0E51" w:rsidR="003410A8" w:rsidRPr="00741E32" w:rsidRDefault="00DC60D5" w:rsidP="00A24779">
      <w:pPr>
        <w:spacing w:before="80"/>
        <w:ind w:firstLine="720"/>
        <w:jc w:val="both"/>
        <w:rPr>
          <w:spacing w:val="4"/>
          <w:sz w:val="28"/>
          <w:szCs w:val="28"/>
          <w:lang w:val="sv-SE" w:eastAsia="vi-VN"/>
        </w:rPr>
      </w:pPr>
      <w:r w:rsidRPr="00741E32">
        <w:rPr>
          <w:sz w:val="28"/>
          <w:szCs w:val="28"/>
          <w:lang w:val="en-US" w:eastAsia="en-US"/>
        </w:rPr>
        <w:t xml:space="preserve">Bối cảnh pháp lý nêu trên phải ban hành </w:t>
      </w:r>
      <w:r w:rsidR="003410A8" w:rsidRPr="00741E32">
        <w:rPr>
          <w:sz w:val="28"/>
          <w:szCs w:val="28"/>
          <w:lang w:val="vi-VN"/>
        </w:rPr>
        <w:t xml:space="preserve">một Nghị quyết </w:t>
      </w:r>
      <w:r w:rsidR="003410A8" w:rsidRPr="00741E32">
        <w:rPr>
          <w:bCs/>
          <w:sz w:val="28"/>
          <w:szCs w:val="28"/>
          <w:lang w:val="vi-VN"/>
        </w:rPr>
        <w:t>thống nhất, đầy đủ, phù hợp thực tiễn</w:t>
      </w:r>
      <w:r w:rsidR="003410A8" w:rsidRPr="00741E32">
        <w:rPr>
          <w:sz w:val="28"/>
          <w:szCs w:val="28"/>
          <w:lang w:val="vi-VN"/>
        </w:rPr>
        <w:t>, bảo đảm tính hợp hiến, hợp pháp và đúng thẩm quyền là cần thiết.</w:t>
      </w:r>
    </w:p>
    <w:p w14:paraId="1BDD7C46" w14:textId="0A02E44D" w:rsidR="0086248C" w:rsidRPr="00BA585B" w:rsidRDefault="00BA585B" w:rsidP="00A24779">
      <w:pPr>
        <w:spacing w:before="80"/>
        <w:ind w:firstLine="720"/>
        <w:jc w:val="both"/>
        <w:rPr>
          <w:b/>
          <w:bCs/>
          <w:iCs/>
          <w:sz w:val="28"/>
          <w:szCs w:val="28"/>
          <w:lang w:val="nl-NL"/>
        </w:rPr>
      </w:pPr>
      <w:r w:rsidRPr="00BA585B">
        <w:rPr>
          <w:b/>
          <w:bCs/>
          <w:iCs/>
          <w:sz w:val="28"/>
          <w:szCs w:val="28"/>
          <w:lang w:val="af-ZA"/>
        </w:rPr>
        <w:t>1.2.</w:t>
      </w:r>
      <w:r w:rsidR="0086248C" w:rsidRPr="00BA585B">
        <w:rPr>
          <w:b/>
          <w:bCs/>
          <w:iCs/>
          <w:sz w:val="28"/>
          <w:szCs w:val="28"/>
          <w:lang w:val="af-ZA"/>
        </w:rPr>
        <w:t xml:space="preserve"> </w:t>
      </w:r>
      <w:r w:rsidR="00DF0958" w:rsidRPr="00BA585B">
        <w:rPr>
          <w:b/>
          <w:bCs/>
          <w:iCs/>
          <w:sz w:val="28"/>
          <w:szCs w:val="28"/>
          <w:lang w:val="af-ZA"/>
        </w:rPr>
        <w:t>Bối cảnh kinh tế - xã hội</w:t>
      </w:r>
    </w:p>
    <w:p w14:paraId="4D091205" w14:textId="5B30567E" w:rsidR="0086248C" w:rsidRPr="00741E32" w:rsidRDefault="0086248C" w:rsidP="00A24779">
      <w:pPr>
        <w:spacing w:before="80"/>
        <w:ind w:firstLine="720"/>
        <w:jc w:val="both"/>
        <w:rPr>
          <w:sz w:val="28"/>
          <w:szCs w:val="28"/>
          <w:lang w:val="af-ZA"/>
        </w:rPr>
      </w:pPr>
      <w:r w:rsidRPr="00741E32">
        <w:rPr>
          <w:rFonts w:eastAsia="Georgia"/>
          <w:sz w:val="28"/>
          <w:szCs w:val="28"/>
          <w:lang w:val="af-ZA"/>
        </w:rPr>
        <w:t xml:space="preserve">Tỉnh Quảng Ngãi </w:t>
      </w:r>
      <w:r w:rsidR="00025512" w:rsidRPr="00741E32">
        <w:rPr>
          <w:rFonts w:eastAsia="Georgia"/>
          <w:sz w:val="28"/>
          <w:szCs w:val="28"/>
          <w:lang w:val="af-ZA"/>
        </w:rPr>
        <w:t>có k</w:t>
      </w:r>
      <w:r w:rsidR="00025512" w:rsidRPr="00741E32">
        <w:rPr>
          <w:sz w:val="28"/>
          <w:szCs w:val="28"/>
          <w:lang w:val="af-ZA"/>
        </w:rPr>
        <w:t>hu công nghiệp phát triển nhanh, lao động nữ chiếm tỷ lệ lớn, mô hình ca kíp phổ biến, kéo theo nhu cầu gửi trẻ</w:t>
      </w:r>
      <w:r w:rsidR="003C50CB" w:rsidRPr="00741E32">
        <w:rPr>
          <w:sz w:val="28"/>
          <w:szCs w:val="28"/>
          <w:lang w:val="af-ZA"/>
        </w:rPr>
        <w:t>,</w:t>
      </w:r>
      <w:r w:rsidR="00025512" w:rsidRPr="00741E32">
        <w:rPr>
          <w:sz w:val="28"/>
          <w:szCs w:val="28"/>
          <w:lang w:val="af-ZA"/>
        </w:rPr>
        <w:t xml:space="preserve"> đặc biệt </w:t>
      </w:r>
      <w:r w:rsidR="003C50CB" w:rsidRPr="00741E32">
        <w:rPr>
          <w:sz w:val="28"/>
          <w:szCs w:val="28"/>
          <w:lang w:val="af-ZA"/>
        </w:rPr>
        <w:t xml:space="preserve">trẻ từ </w:t>
      </w:r>
      <w:r w:rsidR="00025512" w:rsidRPr="00741E32">
        <w:rPr>
          <w:sz w:val="28"/>
          <w:szCs w:val="28"/>
          <w:lang w:val="af-ZA"/>
        </w:rPr>
        <w:t xml:space="preserve">06–36 tháng tăng cao. Mạng lưới cơ sở công lập khó mở điểm lẻ gần khu </w:t>
      </w:r>
      <w:r w:rsidR="009825B3" w:rsidRPr="00741E32">
        <w:rPr>
          <w:sz w:val="28"/>
          <w:szCs w:val="28"/>
          <w:lang w:val="af-ZA"/>
        </w:rPr>
        <w:t>công nghiệp</w:t>
      </w:r>
      <w:r w:rsidR="00025512" w:rsidRPr="00741E32">
        <w:rPr>
          <w:sz w:val="28"/>
          <w:szCs w:val="28"/>
          <w:lang w:val="af-ZA"/>
        </w:rPr>
        <w:t xml:space="preserve">, nơi có nhiều lao động do hạn chế quỹ đất và thủ tục đầu tư; cơ sở ngoài công lập quy mô nhỏ, chi phí tuân thủ an toàn cao. </w:t>
      </w:r>
      <w:r w:rsidRPr="00741E32">
        <w:rPr>
          <w:rFonts w:eastAsia="Georgia"/>
          <w:sz w:val="28"/>
          <w:szCs w:val="28"/>
          <w:lang w:val="af-ZA"/>
        </w:rPr>
        <w:t>Nhiều công nhân có con nhỏ trong độ tuổi mầm non cần được chăm sóc, giáo dục.</w:t>
      </w:r>
    </w:p>
    <w:p w14:paraId="6E28557A" w14:textId="2D0F7640" w:rsidR="005B314D" w:rsidRPr="00741E32" w:rsidRDefault="0086248C" w:rsidP="00A24779">
      <w:pPr>
        <w:spacing w:before="80"/>
        <w:ind w:firstLine="720"/>
        <w:jc w:val="both"/>
        <w:rPr>
          <w:rFonts w:eastAsia="Georgia"/>
          <w:sz w:val="28"/>
          <w:szCs w:val="28"/>
          <w:lang w:val="af-ZA"/>
        </w:rPr>
      </w:pPr>
      <w:r w:rsidRPr="00741E32">
        <w:rPr>
          <w:rFonts w:eastAsia="Georgia"/>
          <w:sz w:val="28"/>
          <w:szCs w:val="28"/>
          <w:lang w:val="af-ZA"/>
        </w:rPr>
        <w:t xml:space="preserve">Hiện </w:t>
      </w:r>
      <w:r w:rsidR="005B314D" w:rsidRPr="00741E32">
        <w:rPr>
          <w:rFonts w:eastAsia="Georgia"/>
          <w:sz w:val="28"/>
          <w:szCs w:val="28"/>
          <w:lang w:val="af-ZA"/>
        </w:rPr>
        <w:t>nay</w:t>
      </w:r>
      <w:r w:rsidR="00881774" w:rsidRPr="00741E32">
        <w:rPr>
          <w:rFonts w:eastAsia="Georgia"/>
          <w:sz w:val="28"/>
          <w:szCs w:val="28"/>
          <w:lang w:val="af-ZA"/>
        </w:rPr>
        <w:t>,</w:t>
      </w:r>
      <w:r w:rsidR="005B314D" w:rsidRPr="00741E32">
        <w:rPr>
          <w:rFonts w:eastAsia="Georgia"/>
          <w:sz w:val="28"/>
          <w:szCs w:val="28"/>
          <w:lang w:val="af-ZA"/>
        </w:rPr>
        <w:t xml:space="preserve"> tỉnh Quảng Ngãi </w:t>
      </w:r>
      <w:r w:rsidRPr="00741E32">
        <w:rPr>
          <w:rFonts w:eastAsia="Georgia"/>
          <w:sz w:val="28"/>
          <w:szCs w:val="28"/>
          <w:lang w:val="af-ZA"/>
        </w:rPr>
        <w:t>có 1</w:t>
      </w:r>
      <w:r w:rsidR="00881774" w:rsidRPr="00741E32">
        <w:rPr>
          <w:rFonts w:eastAsia="Georgia"/>
          <w:sz w:val="28"/>
          <w:szCs w:val="28"/>
          <w:lang w:val="af-ZA"/>
        </w:rPr>
        <w:t>43</w:t>
      </w:r>
      <w:r w:rsidRPr="00741E32">
        <w:rPr>
          <w:rFonts w:eastAsia="Georgia"/>
          <w:sz w:val="28"/>
          <w:szCs w:val="28"/>
          <w:lang w:val="af-ZA"/>
        </w:rPr>
        <w:t xml:space="preserve"> cơ sở giáo dục mầm non tại địa bàn có khu công nghiệp</w:t>
      </w:r>
      <w:r w:rsidR="00881774" w:rsidRPr="00741E32">
        <w:rPr>
          <w:rFonts w:eastAsia="Georgia"/>
          <w:sz w:val="28"/>
          <w:szCs w:val="28"/>
          <w:lang w:val="af-ZA"/>
        </w:rPr>
        <w:t xml:space="preserve"> (</w:t>
      </w:r>
      <w:r w:rsidR="00881774" w:rsidRPr="00741E32">
        <w:rPr>
          <w:rFonts w:eastAsia="Georgia"/>
          <w:i/>
          <w:iCs/>
          <w:sz w:val="28"/>
          <w:szCs w:val="28"/>
          <w:lang w:val="af-ZA"/>
        </w:rPr>
        <w:t>trong đó, có 133 cơ sở giáo dục mầm non độc lập</w:t>
      </w:r>
      <w:r w:rsidR="00881774" w:rsidRPr="00741E32">
        <w:rPr>
          <w:rFonts w:eastAsia="Georgia"/>
          <w:sz w:val="28"/>
          <w:szCs w:val="28"/>
          <w:lang w:val="af-ZA"/>
        </w:rPr>
        <w:t>)</w:t>
      </w:r>
      <w:r w:rsidRPr="00741E32">
        <w:rPr>
          <w:rFonts w:eastAsia="Georgia"/>
          <w:sz w:val="28"/>
          <w:szCs w:val="28"/>
          <w:lang w:val="af-ZA"/>
        </w:rPr>
        <w:t xml:space="preserve">, với </w:t>
      </w:r>
      <w:r w:rsidR="00881774" w:rsidRPr="00741E32">
        <w:rPr>
          <w:rFonts w:eastAsia="Georgia"/>
          <w:sz w:val="28"/>
          <w:szCs w:val="28"/>
          <w:lang w:val="af-ZA"/>
        </w:rPr>
        <w:t xml:space="preserve">3,781 </w:t>
      </w:r>
      <w:r w:rsidRPr="00741E32">
        <w:rPr>
          <w:rFonts w:eastAsia="Georgia"/>
          <w:sz w:val="28"/>
          <w:szCs w:val="28"/>
          <w:lang w:val="af-ZA"/>
        </w:rPr>
        <w:t>trẻ</w:t>
      </w:r>
      <w:r w:rsidR="00ED1D7E" w:rsidRPr="00741E32">
        <w:rPr>
          <w:rFonts w:eastAsia="Georgia"/>
          <w:sz w:val="28"/>
          <w:szCs w:val="28"/>
          <w:lang w:val="af-ZA"/>
        </w:rPr>
        <w:t xml:space="preserve"> nhà trẻ, trẻ mẫu giáo</w:t>
      </w:r>
      <w:r w:rsidRPr="00741E32">
        <w:rPr>
          <w:rFonts w:eastAsia="Georgia"/>
          <w:sz w:val="28"/>
          <w:szCs w:val="28"/>
          <w:lang w:val="af-ZA"/>
        </w:rPr>
        <w:t xml:space="preserve"> là con công nhân, người lao độ</w:t>
      </w:r>
      <w:r w:rsidR="00DF0958" w:rsidRPr="00741E32">
        <w:rPr>
          <w:rFonts w:eastAsia="Georgia"/>
          <w:sz w:val="28"/>
          <w:szCs w:val="28"/>
          <w:lang w:val="af-ZA"/>
        </w:rPr>
        <w:t>ng.</w:t>
      </w:r>
      <w:r w:rsidR="005B314D" w:rsidRPr="00741E32">
        <w:rPr>
          <w:sz w:val="28"/>
          <w:szCs w:val="28"/>
          <w:lang w:val="af-ZA" w:eastAsia="en-US"/>
        </w:rPr>
        <w:t xml:space="preserve"> Tỉnh đang phát triển mạnh mẽ hệ thống khu công nghiệp</w:t>
      </w:r>
      <w:r w:rsidR="004B7736" w:rsidRPr="00741E32">
        <w:rPr>
          <w:sz w:val="28"/>
          <w:szCs w:val="28"/>
          <w:lang w:val="af-ZA" w:eastAsia="en-US"/>
        </w:rPr>
        <w:t xml:space="preserve"> </w:t>
      </w:r>
      <w:r w:rsidR="005B314D" w:rsidRPr="00741E32">
        <w:rPr>
          <w:sz w:val="28"/>
          <w:szCs w:val="28"/>
          <w:lang w:val="af-ZA" w:eastAsia="en-US"/>
        </w:rPr>
        <w:t xml:space="preserve">lực lượng lao động tăng nhanh, trong đó lao động nữ chiếm tỷ lệ lớn. Cùng với đó, nhu cầu gửi trẻ, đặc biệt trẻ </w:t>
      </w:r>
      <w:r w:rsidR="006443C2" w:rsidRPr="00741E32">
        <w:rPr>
          <w:sz w:val="28"/>
          <w:szCs w:val="28"/>
          <w:lang w:val="af-ZA" w:eastAsia="en-US"/>
        </w:rPr>
        <w:t xml:space="preserve">từ </w:t>
      </w:r>
      <w:r w:rsidR="005B314D" w:rsidRPr="00741E32">
        <w:rPr>
          <w:sz w:val="28"/>
          <w:szCs w:val="28"/>
          <w:lang w:val="af-ZA" w:eastAsia="en-US"/>
        </w:rPr>
        <w:t xml:space="preserve">06–36 tháng tuổi ngày càng gia tăng, kéo theo các yêu cầu mở rộng quy mô cơ sở </w:t>
      </w:r>
      <w:r w:rsidR="004B7736" w:rsidRPr="00741E32">
        <w:rPr>
          <w:sz w:val="28"/>
          <w:szCs w:val="28"/>
          <w:lang w:val="af-ZA" w:eastAsia="en-US"/>
        </w:rPr>
        <w:t xml:space="preserve">giáo dục mầm non </w:t>
      </w:r>
      <w:r w:rsidR="005B314D" w:rsidRPr="00741E32">
        <w:rPr>
          <w:sz w:val="28"/>
          <w:szCs w:val="28"/>
          <w:lang w:val="af-ZA" w:eastAsia="en-US"/>
        </w:rPr>
        <w:t>độc lập tại địa bàn có khu công nghiệ</w:t>
      </w:r>
      <w:r w:rsidR="004B7736" w:rsidRPr="00741E32">
        <w:rPr>
          <w:sz w:val="28"/>
          <w:szCs w:val="28"/>
          <w:lang w:val="af-ZA" w:eastAsia="en-US"/>
        </w:rPr>
        <w:t>p</w:t>
      </w:r>
      <w:r w:rsidR="005B314D" w:rsidRPr="00741E32">
        <w:rPr>
          <w:sz w:val="28"/>
          <w:szCs w:val="28"/>
          <w:lang w:val="af-ZA" w:eastAsia="en-US"/>
        </w:rPr>
        <w:t>; bảo đảm chất lượng chăm sóc – giáo dục, an toàn cho trẻ; giảm gánh nặng chi phí gửi trẻ cho công nhân, người lao động và có cơ chế thu hút, giữ chân đội ngũ giáo viên mầm non, nhất là giáo viên chăm sóc trẻ dưới 36 tháng.</w:t>
      </w:r>
    </w:p>
    <w:p w14:paraId="6D25F0E5" w14:textId="77777777" w:rsidR="005B314D" w:rsidRPr="00741E32" w:rsidRDefault="005B314D" w:rsidP="00A24779">
      <w:pPr>
        <w:spacing w:before="80"/>
        <w:ind w:firstLine="720"/>
        <w:jc w:val="both"/>
        <w:rPr>
          <w:sz w:val="28"/>
          <w:szCs w:val="28"/>
          <w:lang w:val="af-ZA" w:eastAsia="en-US"/>
        </w:rPr>
      </w:pPr>
      <w:r w:rsidRPr="00741E32">
        <w:rPr>
          <w:sz w:val="28"/>
          <w:szCs w:val="28"/>
          <w:lang w:val="af-ZA" w:eastAsia="en-US"/>
        </w:rPr>
        <w:t>Điều này đòi hỏi tỉnh phải sớm ban hành chính sách hỗ trợ kịp thời, tạo điều kiện ổn định cho lực lượng lao động và đồng hành cùng doanh nghiệp.</w:t>
      </w:r>
    </w:p>
    <w:p w14:paraId="5CEA6A4B" w14:textId="77777777" w:rsidR="0086248C" w:rsidRPr="00741E32" w:rsidRDefault="0086248C" w:rsidP="00A24779">
      <w:pPr>
        <w:spacing w:before="80"/>
        <w:ind w:firstLine="720"/>
        <w:rPr>
          <w:sz w:val="28"/>
          <w:szCs w:val="28"/>
          <w:lang w:val="af-ZA"/>
        </w:rPr>
      </w:pPr>
      <w:bookmarkStart w:id="4" w:name="bm_2_mục_tiêu_xây_dựng_chính_sách"/>
      <w:r w:rsidRPr="00741E32">
        <w:rPr>
          <w:rFonts w:eastAsia="Georgia"/>
          <w:b/>
          <w:sz w:val="28"/>
          <w:szCs w:val="28"/>
          <w:lang w:val="af-ZA"/>
        </w:rPr>
        <w:t>2. Mục tiêu xây dựng chính sách</w:t>
      </w:r>
      <w:bookmarkEnd w:id="4"/>
    </w:p>
    <w:p w14:paraId="27FCAF91" w14:textId="2D01279C" w:rsidR="00025512" w:rsidRPr="00741E32" w:rsidRDefault="00025512" w:rsidP="00A24779">
      <w:pPr>
        <w:spacing w:before="80"/>
        <w:ind w:firstLine="720"/>
        <w:jc w:val="both"/>
        <w:rPr>
          <w:rFonts w:eastAsia="Georgia"/>
          <w:sz w:val="28"/>
          <w:szCs w:val="28"/>
          <w:lang w:val="af-ZA"/>
        </w:rPr>
      </w:pPr>
      <w:r w:rsidRPr="00741E32">
        <w:rPr>
          <w:rFonts w:eastAsia="Georgia"/>
          <w:sz w:val="28"/>
          <w:szCs w:val="28"/>
          <w:lang w:val="af-ZA"/>
        </w:rPr>
        <w:t>- Hợp nhất, điều chỉnh chính sách của Hội đồng nhân dân tỉnh sau sáp nhập (thay thế Nghị quyết 32/2021/NQ-HĐND và Nghị quyết 69/2021/NQ-HĐND, áp dụng thống nhất trên địa bàn tỉnh Quảng Ngãi)</w:t>
      </w:r>
      <w:r w:rsidR="00AA1D01" w:rsidRPr="00741E32">
        <w:rPr>
          <w:rFonts w:eastAsia="Georgia"/>
          <w:sz w:val="28"/>
          <w:szCs w:val="28"/>
          <w:lang w:val="af-ZA"/>
        </w:rPr>
        <w:t xml:space="preserve">, </w:t>
      </w:r>
      <w:r w:rsidR="00AA1D01" w:rsidRPr="00741E32">
        <w:rPr>
          <w:sz w:val="28"/>
          <w:szCs w:val="28"/>
          <w:lang w:val="nl-NL"/>
        </w:rPr>
        <w:t>không trùng lắp với các chính sách hỗ trợ đã được quy định tại Nghị định số 277/2025/NĐ</w:t>
      </w:r>
      <w:r w:rsidR="00AA1D01" w:rsidRPr="00741E32">
        <w:rPr>
          <w:sz w:val="28"/>
          <w:szCs w:val="28"/>
          <w:lang w:val="nl-NL"/>
        </w:rPr>
        <w:noBreakHyphen/>
        <w:t>CP</w:t>
      </w:r>
      <w:r w:rsidRPr="00741E32">
        <w:rPr>
          <w:rFonts w:eastAsia="Georgia"/>
          <w:sz w:val="28"/>
          <w:szCs w:val="28"/>
          <w:lang w:val="af-ZA"/>
        </w:rPr>
        <w:t xml:space="preserve"> đảm bảo phù hợp chủ trương của Trung ương, Chính phủ mới ban hành hiện nay về giáo dục mầm non và điều kiện thực tiễn của tỉnh.</w:t>
      </w:r>
    </w:p>
    <w:p w14:paraId="204F6DA1" w14:textId="1BBBAB98" w:rsidR="00AD5861" w:rsidRPr="00741E32" w:rsidRDefault="00025512" w:rsidP="000953BC">
      <w:pPr>
        <w:spacing w:before="80"/>
        <w:ind w:firstLine="720"/>
        <w:jc w:val="both"/>
        <w:rPr>
          <w:spacing w:val="3"/>
          <w:sz w:val="28"/>
          <w:szCs w:val="28"/>
          <w:shd w:val="clear" w:color="auto" w:fill="FFFFFF"/>
          <w:lang w:val="nl-NL"/>
        </w:rPr>
      </w:pPr>
      <w:r w:rsidRPr="00741E32">
        <w:rPr>
          <w:sz w:val="28"/>
          <w:szCs w:val="28"/>
          <w:lang w:val="af-ZA"/>
        </w:rPr>
        <w:t xml:space="preserve">- Thiết kế chính sách hỗ trợ đồng bộ cho 03 nhóm đối tượng: </w:t>
      </w:r>
      <w:r w:rsidR="00AD5861" w:rsidRPr="00741E32">
        <w:rPr>
          <w:spacing w:val="3"/>
          <w:sz w:val="28"/>
          <w:szCs w:val="28"/>
          <w:shd w:val="clear" w:color="auto" w:fill="FFFFFF"/>
          <w:lang w:val="fi-FI"/>
        </w:rPr>
        <w:t xml:space="preserve">a) </w:t>
      </w:r>
      <w:r w:rsidR="00AD5861" w:rsidRPr="00741E32">
        <w:rPr>
          <w:sz w:val="28"/>
          <w:szCs w:val="28"/>
          <w:lang w:val="af-ZA"/>
        </w:rPr>
        <w:t>Cơ sở giáo dục mầm non độc lập có nhóm trẻ/lớp mầm non từ 06 đến 36 tháng tuổi</w:t>
      </w:r>
      <w:r w:rsidR="00AD5861" w:rsidRPr="00741E32">
        <w:rPr>
          <w:spacing w:val="3"/>
          <w:sz w:val="28"/>
          <w:szCs w:val="28"/>
          <w:shd w:val="clear" w:color="auto" w:fill="FFFFFF"/>
          <w:lang w:val="fi-FI"/>
        </w:rPr>
        <w:t xml:space="preserve"> ở địa bàn có khu công nghiệp đã được cấp có thẩm quyền cấp phép thành lập theo đúng quy định; có từ 30% trẻ là con công nhân, người lao động tại khu công nghiệp. </w:t>
      </w:r>
      <w:r w:rsidR="00AD5861" w:rsidRPr="00741E32">
        <w:rPr>
          <w:spacing w:val="3"/>
          <w:sz w:val="28"/>
          <w:szCs w:val="28"/>
          <w:shd w:val="clear" w:color="auto" w:fill="FFFFFF"/>
          <w:lang w:val="nl-NL"/>
        </w:rPr>
        <w:t xml:space="preserve">b) </w:t>
      </w:r>
      <w:r w:rsidR="00AD5861" w:rsidRPr="00741E32">
        <w:rPr>
          <w:bCs/>
          <w:sz w:val="28"/>
          <w:szCs w:val="28"/>
          <w:lang w:val="vi-VN"/>
        </w:rPr>
        <w:t xml:space="preserve">Giáo viên </w:t>
      </w:r>
      <w:r w:rsidR="00AD5861" w:rsidRPr="00741E32">
        <w:rPr>
          <w:bCs/>
          <w:sz w:val="28"/>
          <w:szCs w:val="28"/>
          <w:lang w:val="nl-NL"/>
        </w:rPr>
        <w:t xml:space="preserve">mầm non </w:t>
      </w:r>
      <w:r w:rsidR="00AD5861" w:rsidRPr="00741E32">
        <w:rPr>
          <w:spacing w:val="3"/>
          <w:sz w:val="28"/>
          <w:szCs w:val="28"/>
          <w:shd w:val="clear" w:color="auto" w:fill="FFFFFF"/>
          <w:lang w:val="vi-VN"/>
        </w:rPr>
        <w:t>làm việc tại các cơ sở giáo dục mầm non</w:t>
      </w:r>
      <w:r w:rsidR="00AD5861" w:rsidRPr="00741E32">
        <w:rPr>
          <w:spacing w:val="3"/>
          <w:sz w:val="28"/>
          <w:szCs w:val="28"/>
          <w:shd w:val="clear" w:color="auto" w:fill="FFFFFF"/>
          <w:lang w:val="fi-FI"/>
        </w:rPr>
        <w:t xml:space="preserve"> ngoài công lập </w:t>
      </w:r>
      <w:r w:rsidR="00AD5861" w:rsidRPr="00741E32">
        <w:rPr>
          <w:spacing w:val="3"/>
          <w:sz w:val="28"/>
          <w:szCs w:val="28"/>
          <w:shd w:val="clear" w:color="auto" w:fill="FFFFFF"/>
          <w:lang w:val="vi-VN"/>
        </w:rPr>
        <w:t>ở địa bàn có khu công nghiệp</w:t>
      </w:r>
      <w:r w:rsidR="00AD5861" w:rsidRPr="00741E32">
        <w:rPr>
          <w:bCs/>
          <w:sz w:val="28"/>
          <w:szCs w:val="28"/>
          <w:lang w:val="vi-VN"/>
        </w:rPr>
        <w:t xml:space="preserve"> </w:t>
      </w:r>
      <w:r w:rsidR="00AD5861" w:rsidRPr="00741E32">
        <w:rPr>
          <w:spacing w:val="3"/>
          <w:sz w:val="28"/>
          <w:szCs w:val="28"/>
          <w:shd w:val="clear" w:color="auto" w:fill="FFFFFF"/>
          <w:lang w:val="fi-FI"/>
        </w:rPr>
        <w:t xml:space="preserve">đã được cơ quan có thẩm quyền cấp phép thành lập và hoạt động theo quy định, bảo đảm những điều kiện sau: Có trình độ chuẩn đào tạo chức danh giáo viên mầm non theo quy định; Có hợp đồng lao động với người đại diện </w:t>
      </w:r>
      <w:r w:rsidR="00AD5861" w:rsidRPr="00741E32">
        <w:rPr>
          <w:spacing w:val="3"/>
          <w:sz w:val="28"/>
          <w:szCs w:val="28"/>
          <w:shd w:val="clear" w:color="auto" w:fill="FFFFFF"/>
          <w:lang w:val="fi-FI"/>
        </w:rPr>
        <w:lastRenderedPageBreak/>
        <w:t xml:space="preserve">theo pháp luật của cơ sở giáo dục mầm non dân lập, tư thục; Trực tiếp chăm sóc, giáo dục tại nhóm trẻ/lớp mẫu giáo có từ 30% trẻ em là con công nhân, người lao động làm việc tại khu công nghiệp. </w:t>
      </w:r>
      <w:r w:rsidR="00AD5861" w:rsidRPr="00741E32">
        <w:rPr>
          <w:spacing w:val="-2"/>
          <w:sz w:val="28"/>
          <w:szCs w:val="28"/>
          <w:lang w:val="nl-NL"/>
        </w:rPr>
        <w:t xml:space="preserve">c) </w:t>
      </w:r>
      <w:r w:rsidR="00AD5861" w:rsidRPr="00741E32">
        <w:rPr>
          <w:spacing w:val="3"/>
          <w:sz w:val="28"/>
          <w:szCs w:val="28"/>
          <w:shd w:val="clear" w:color="auto" w:fill="FFFFFF"/>
          <w:lang w:val="fi-FI"/>
        </w:rPr>
        <w:t>Trẻ em từ 06 đến 36 tháng tuổi đang học tại các cơ sở giáo dục mầm non ngoài công lập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14:paraId="181C1459" w14:textId="4B046CEE" w:rsidR="00025512" w:rsidRPr="00741E32" w:rsidRDefault="00025512" w:rsidP="00A24779">
      <w:pPr>
        <w:spacing w:before="80"/>
        <w:ind w:firstLine="720"/>
        <w:jc w:val="both"/>
        <w:rPr>
          <w:sz w:val="28"/>
          <w:szCs w:val="28"/>
          <w:lang w:val="af-ZA"/>
        </w:rPr>
      </w:pPr>
      <w:r w:rsidRPr="00741E32">
        <w:rPr>
          <w:sz w:val="28"/>
          <w:szCs w:val="28"/>
          <w:lang w:val="af-ZA"/>
        </w:rPr>
        <w:t xml:space="preserve">- </w:t>
      </w:r>
      <w:r w:rsidR="00B411CC" w:rsidRPr="00741E32">
        <w:rPr>
          <w:sz w:val="28"/>
          <w:szCs w:val="28"/>
          <w:lang w:val="af-ZA"/>
        </w:rPr>
        <w:t>B</w:t>
      </w:r>
      <w:r w:rsidRPr="00741E32">
        <w:rPr>
          <w:sz w:val="28"/>
          <w:szCs w:val="28"/>
          <w:lang w:val="af-ZA"/>
        </w:rPr>
        <w:t>ảo đảm khả năng cân đối ngân sách và tính bền vững của chính sách.</w:t>
      </w:r>
    </w:p>
    <w:p w14:paraId="084565DD" w14:textId="561848FD" w:rsidR="00C66F94" w:rsidRPr="00741E32" w:rsidRDefault="00C05DC3" w:rsidP="00A24779">
      <w:pPr>
        <w:spacing w:before="80"/>
        <w:ind w:firstLine="720"/>
        <w:jc w:val="both"/>
        <w:rPr>
          <w:sz w:val="28"/>
          <w:szCs w:val="28"/>
          <w:lang w:val="af-ZA"/>
        </w:rPr>
      </w:pPr>
      <w:r w:rsidRPr="00741E32">
        <w:rPr>
          <w:sz w:val="28"/>
          <w:szCs w:val="28"/>
          <w:lang w:val="af-ZA"/>
        </w:rPr>
        <w:t>-</w:t>
      </w:r>
      <w:r w:rsidR="00C66F94" w:rsidRPr="00741E32">
        <w:rPr>
          <w:sz w:val="28"/>
          <w:szCs w:val="28"/>
          <w:lang w:val="vi-VN"/>
        </w:rPr>
        <w:t xml:space="preserve"> Đáp ứng nhu cầu thực tiễn phát triển giáo dục mầm non </w:t>
      </w:r>
      <w:r w:rsidR="00F913B3" w:rsidRPr="00741E32">
        <w:rPr>
          <w:sz w:val="28"/>
          <w:szCs w:val="28"/>
          <w:lang w:val="af-ZA"/>
        </w:rPr>
        <w:t>ngoài công lập</w:t>
      </w:r>
      <w:r w:rsidR="00F913B3" w:rsidRPr="00741E32">
        <w:rPr>
          <w:sz w:val="28"/>
          <w:szCs w:val="28"/>
          <w:lang w:val="vi-VN"/>
        </w:rPr>
        <w:t xml:space="preserve"> </w:t>
      </w:r>
      <w:r w:rsidR="00C66F94" w:rsidRPr="00741E32">
        <w:rPr>
          <w:sz w:val="28"/>
          <w:szCs w:val="28"/>
          <w:lang w:val="vi-VN"/>
        </w:rPr>
        <w:t xml:space="preserve">tại địa bàn có khu công nghiệp, </w:t>
      </w:r>
      <w:r w:rsidR="0095559D" w:rsidRPr="00741E32">
        <w:rPr>
          <w:sz w:val="28"/>
          <w:szCs w:val="28"/>
          <w:lang w:val="af-ZA"/>
        </w:rPr>
        <w:t xml:space="preserve">nơi có nhiều lao động </w:t>
      </w:r>
      <w:r w:rsidR="00C66F94" w:rsidRPr="00741E32">
        <w:rPr>
          <w:sz w:val="28"/>
          <w:szCs w:val="28"/>
          <w:lang w:val="vi-VN"/>
        </w:rPr>
        <w:t>đảm bảo công bằng và hài hòa quyền lợi cho đối tượng thụ hưởng, phù hợp với điều kiện, đặc điểm phát triển kinh tế – xã hội và khả năng ngân sách của tỉnh.</w:t>
      </w:r>
    </w:p>
    <w:p w14:paraId="6961865B" w14:textId="77777777" w:rsidR="0086248C" w:rsidRPr="00741E32" w:rsidRDefault="0086248C" w:rsidP="00A24779">
      <w:pPr>
        <w:spacing w:before="80"/>
        <w:ind w:firstLine="720"/>
        <w:rPr>
          <w:sz w:val="28"/>
          <w:szCs w:val="28"/>
          <w:lang w:val="af-ZA"/>
        </w:rPr>
      </w:pPr>
      <w:bookmarkStart w:id="5" w:name="ii_đánh_giá_tác_động_của_chính_sách"/>
      <w:r w:rsidRPr="00741E32">
        <w:rPr>
          <w:rFonts w:eastAsia="Georgia"/>
          <w:b/>
          <w:sz w:val="28"/>
          <w:szCs w:val="28"/>
          <w:lang w:val="af-ZA"/>
        </w:rPr>
        <w:t>II. ĐÁNH GIÁ TÁC ĐỘNG CỦA CHÍNH SÁCH</w:t>
      </w:r>
      <w:bookmarkStart w:id="6" w:name="bm_1_chính_sách_1_hỗ_trợ_cơ_sở_gi_25d83f"/>
      <w:bookmarkEnd w:id="5"/>
    </w:p>
    <w:p w14:paraId="48474B89" w14:textId="4F78F134" w:rsidR="00567331" w:rsidRPr="00741E32" w:rsidRDefault="0086248C" w:rsidP="00A24779">
      <w:pPr>
        <w:spacing w:before="80"/>
        <w:ind w:firstLine="720"/>
        <w:jc w:val="both"/>
        <w:rPr>
          <w:b/>
          <w:sz w:val="28"/>
          <w:szCs w:val="28"/>
          <w:lang w:val="sv-SE"/>
        </w:rPr>
      </w:pPr>
      <w:r w:rsidRPr="00741E32">
        <w:rPr>
          <w:rFonts w:eastAsia="Georgia"/>
          <w:b/>
          <w:sz w:val="28"/>
          <w:szCs w:val="28"/>
          <w:lang w:val="af-ZA"/>
        </w:rPr>
        <w:t xml:space="preserve">1. Chính sách 1: </w:t>
      </w:r>
      <w:r w:rsidR="00C66F94" w:rsidRPr="00741E32">
        <w:rPr>
          <w:rFonts w:eastAsia="Georgia"/>
          <w:b/>
          <w:sz w:val="28"/>
          <w:szCs w:val="28"/>
          <w:lang w:val="sv-SE"/>
        </w:rPr>
        <w:t xml:space="preserve">Hỗ trợ </w:t>
      </w:r>
      <w:r w:rsidR="00567331" w:rsidRPr="00741E32">
        <w:rPr>
          <w:rFonts w:eastAsia="Georgia"/>
          <w:b/>
          <w:sz w:val="28"/>
          <w:szCs w:val="28"/>
          <w:lang w:val="sv-SE"/>
        </w:rPr>
        <w:t>c</w:t>
      </w:r>
      <w:r w:rsidR="00567331" w:rsidRPr="00741E32">
        <w:rPr>
          <w:b/>
          <w:sz w:val="28"/>
          <w:szCs w:val="28"/>
          <w:lang w:val="sv-SE"/>
        </w:rPr>
        <w:t>ơ sở giáo dục mầm non độc lập có nhóm trẻ/lớp mầm non từ 06 đến 36 tháng tuổi ở địa bàn có khu công nghiệp đã được cấp có thẩm quyền cấp phép thành lập theo đúng quy định; có từ 30% trẻ là con công nhân, người lao động tại khu công nghiệp.</w:t>
      </w:r>
    </w:p>
    <w:p w14:paraId="1C9F09BC" w14:textId="77777777" w:rsidR="0086248C" w:rsidRPr="00741E32" w:rsidRDefault="0086248C" w:rsidP="00A24779">
      <w:pPr>
        <w:spacing w:before="80"/>
        <w:ind w:firstLine="720"/>
        <w:rPr>
          <w:rFonts w:eastAsia="Georgia"/>
          <w:bCs/>
          <w:sz w:val="28"/>
          <w:szCs w:val="28"/>
          <w:lang w:val="sv-SE"/>
        </w:rPr>
      </w:pPr>
      <w:bookmarkStart w:id="7" w:name="bm_1_1_đánh_giá_tác_động"/>
      <w:bookmarkEnd w:id="6"/>
      <w:r w:rsidRPr="00741E32">
        <w:rPr>
          <w:rFonts w:eastAsia="Georgia"/>
          <w:bCs/>
          <w:sz w:val="28"/>
          <w:szCs w:val="28"/>
          <w:lang w:val="sv-SE"/>
        </w:rPr>
        <w:t>1.1. Đánh giá tác động</w:t>
      </w:r>
      <w:bookmarkEnd w:id="7"/>
    </w:p>
    <w:p w14:paraId="05F4D300" w14:textId="536A96EE" w:rsidR="004469DD" w:rsidRPr="00741E32" w:rsidRDefault="004469DD" w:rsidP="00A24779">
      <w:pPr>
        <w:spacing w:before="80"/>
        <w:ind w:firstLine="720"/>
        <w:jc w:val="both"/>
        <w:rPr>
          <w:rFonts w:eastAsia="Georgia"/>
          <w:bCs/>
          <w:i/>
          <w:iCs/>
          <w:sz w:val="28"/>
          <w:szCs w:val="28"/>
          <w:lang w:val="sv-SE"/>
        </w:rPr>
      </w:pPr>
      <w:r w:rsidRPr="00741E32">
        <w:rPr>
          <w:rFonts w:eastAsia="Georgia"/>
          <w:bCs/>
          <w:i/>
          <w:iCs/>
          <w:sz w:val="28"/>
          <w:szCs w:val="28"/>
          <w:lang w:val="sv-SE"/>
        </w:rPr>
        <w:t>a) Giải pháp 1: Mức hỗ trợ: 50 triệu đồng/cơ sở.</w:t>
      </w:r>
      <w:r w:rsidR="00D12A7C" w:rsidRPr="00741E32">
        <w:rPr>
          <w:rFonts w:eastAsia="Georgia"/>
          <w:bCs/>
          <w:i/>
          <w:iCs/>
          <w:sz w:val="28"/>
          <w:szCs w:val="28"/>
          <w:lang w:val="sv-SE"/>
        </w:rPr>
        <w:t xml:space="preserve"> </w:t>
      </w:r>
      <w:r w:rsidRPr="00741E32">
        <w:rPr>
          <w:rFonts w:eastAsia="Georgia"/>
          <w:bCs/>
          <w:i/>
          <w:iCs/>
          <w:sz w:val="28"/>
          <w:szCs w:val="28"/>
          <w:lang w:val="sv-SE"/>
        </w:rPr>
        <w:t>Tiêu chí thụ hưởng: Cơ sở giáo dục mầm non độc lập tại khu công nghiệp, nơi có nhiều lao động trên địa bàn tỉnh Quảng Ngãi.</w:t>
      </w:r>
    </w:p>
    <w:p w14:paraId="2D0AC832" w14:textId="5122CF93" w:rsidR="001321DF" w:rsidRPr="00741E32" w:rsidRDefault="001321DF" w:rsidP="00A24779">
      <w:pPr>
        <w:spacing w:before="80"/>
        <w:ind w:firstLine="720"/>
        <w:jc w:val="both"/>
        <w:rPr>
          <w:sz w:val="28"/>
          <w:szCs w:val="28"/>
          <w:lang w:val="sv-SE"/>
        </w:rPr>
      </w:pPr>
      <w:r w:rsidRPr="00741E32">
        <w:rPr>
          <w:i/>
          <w:sz w:val="28"/>
          <w:szCs w:val="28"/>
          <w:lang w:val="sv-SE"/>
        </w:rPr>
        <w:t>- Tác động đối với hệ thống pháp luật:</w:t>
      </w:r>
      <w:r w:rsidRPr="00741E32">
        <w:rPr>
          <w:sz w:val="28"/>
          <w:szCs w:val="28"/>
          <w:lang w:val="sv-SE"/>
        </w:rPr>
        <w:t xml:space="preserve"> Đảm bảo thống nhất mức hỗ trợ theo </w:t>
      </w:r>
      <w:r w:rsidRPr="00741E32">
        <w:rPr>
          <w:rFonts w:eastAsia="Georgia"/>
          <w:sz w:val="28"/>
          <w:szCs w:val="28"/>
          <w:lang w:val="sv-SE"/>
        </w:rPr>
        <w:t>Nghị định số 277/2025/NĐ-CP ngày 20/10/2025 tại Điều 4, Khoản 2:"Cơ sở giáo dục mầm non tư thục, dân lập ở địa bàn có khu công nghiệp được hỗ trợ trang bị cơ sở vật chất, mức hỗ trợ tối thiểu 50.000.000 đồng/cơ sở" thực hiện phổ cập cho trẻ em từ 3 đến 5 tuổi.</w:t>
      </w:r>
    </w:p>
    <w:p w14:paraId="28D149AB" w14:textId="08DA6274" w:rsidR="001321DF" w:rsidRPr="00741E32" w:rsidRDefault="001321DF" w:rsidP="00A24779">
      <w:pPr>
        <w:spacing w:before="80"/>
        <w:ind w:firstLine="720"/>
        <w:jc w:val="both"/>
        <w:rPr>
          <w:iCs/>
          <w:sz w:val="28"/>
          <w:szCs w:val="28"/>
          <w:lang w:val="af-ZA"/>
        </w:rPr>
      </w:pPr>
      <w:r w:rsidRPr="00741E32">
        <w:rPr>
          <w:i/>
          <w:iCs/>
          <w:sz w:val="28"/>
          <w:szCs w:val="28"/>
          <w:lang w:val="af-ZA"/>
        </w:rPr>
        <w:t xml:space="preserve">- </w:t>
      </w:r>
      <w:r w:rsidRPr="00741E32">
        <w:rPr>
          <w:i/>
          <w:sz w:val="28"/>
          <w:szCs w:val="28"/>
          <w:lang w:val="af-ZA"/>
        </w:rPr>
        <w:t xml:space="preserve">Tác động về kinh tế - xã hội: </w:t>
      </w:r>
      <w:r w:rsidRPr="00741E32">
        <w:rPr>
          <w:iCs/>
          <w:sz w:val="28"/>
          <w:szCs w:val="28"/>
          <w:lang w:val="af-ZA"/>
        </w:rPr>
        <w:t xml:space="preserve">Áp lực ngân sách lớn cho tỉnh. </w:t>
      </w:r>
      <w:r w:rsidR="00902195" w:rsidRPr="00741E32">
        <w:rPr>
          <w:iCs/>
          <w:sz w:val="28"/>
          <w:szCs w:val="28"/>
          <w:lang w:val="af-ZA"/>
        </w:rPr>
        <w:t>Bởi</w:t>
      </w:r>
      <w:r w:rsidRPr="00741E32">
        <w:rPr>
          <w:iCs/>
          <w:sz w:val="28"/>
          <w:szCs w:val="28"/>
          <w:lang w:val="af-ZA"/>
        </w:rPr>
        <w:t xml:space="preserve"> đối tượng thụ hưởng của Nghị quyết này là h</w:t>
      </w:r>
      <w:r w:rsidRPr="00741E32">
        <w:rPr>
          <w:rFonts w:eastAsia="Georgia"/>
          <w:sz w:val="28"/>
          <w:szCs w:val="28"/>
          <w:lang w:val="sv-SE"/>
        </w:rPr>
        <w:t>ỗ trợ cơ sở giáo dục mầm non độc lập có trẻ em từ 06 đến 36 tháng.</w:t>
      </w:r>
      <w:r w:rsidR="00561133" w:rsidRPr="00741E32">
        <w:rPr>
          <w:rFonts w:eastAsia="Georgia"/>
          <w:sz w:val="28"/>
          <w:szCs w:val="28"/>
          <w:lang w:val="sv-SE"/>
        </w:rPr>
        <w:t xml:space="preserve"> </w:t>
      </w:r>
    </w:p>
    <w:p w14:paraId="46D0D510" w14:textId="70E439DF" w:rsidR="00020F3B" w:rsidRPr="00741E32" w:rsidRDefault="008F6E54" w:rsidP="00A24779">
      <w:pPr>
        <w:spacing w:before="80"/>
        <w:ind w:firstLine="720"/>
        <w:jc w:val="both"/>
        <w:rPr>
          <w:rFonts w:eastAsia="Georgia"/>
          <w:bCs/>
          <w:i/>
          <w:iCs/>
          <w:sz w:val="28"/>
          <w:szCs w:val="28"/>
          <w:lang w:val="sv-SE"/>
        </w:rPr>
      </w:pPr>
      <w:r w:rsidRPr="00741E32">
        <w:rPr>
          <w:rFonts w:eastAsia="Georgia"/>
          <w:bCs/>
          <w:i/>
          <w:iCs/>
          <w:sz w:val="28"/>
          <w:szCs w:val="28"/>
          <w:lang w:val="sv-SE"/>
        </w:rPr>
        <w:t>b</w:t>
      </w:r>
      <w:r w:rsidR="004469DD" w:rsidRPr="00741E32">
        <w:rPr>
          <w:rFonts w:eastAsia="Georgia"/>
          <w:bCs/>
          <w:i/>
          <w:iCs/>
          <w:sz w:val="28"/>
          <w:szCs w:val="28"/>
          <w:lang w:val="sv-SE"/>
        </w:rPr>
        <w:t xml:space="preserve">) Giải pháp </w:t>
      </w:r>
      <w:r w:rsidR="00171A5B" w:rsidRPr="00741E32">
        <w:rPr>
          <w:rFonts w:eastAsia="Georgia"/>
          <w:bCs/>
          <w:i/>
          <w:iCs/>
          <w:sz w:val="28"/>
          <w:szCs w:val="28"/>
          <w:lang w:val="sv-SE"/>
        </w:rPr>
        <w:t>2</w:t>
      </w:r>
      <w:r w:rsidR="004469DD" w:rsidRPr="00741E32">
        <w:rPr>
          <w:rFonts w:eastAsia="Georgia"/>
          <w:bCs/>
          <w:i/>
          <w:iCs/>
          <w:sz w:val="28"/>
          <w:szCs w:val="28"/>
          <w:lang w:val="sv-SE"/>
        </w:rPr>
        <w:t xml:space="preserve">: Mức hỗ trợ: 20 triệu đồng/cơ sở. Tiêu chí thụ hưởng: </w:t>
      </w:r>
      <w:r w:rsidR="00020F3B" w:rsidRPr="00741E32">
        <w:rPr>
          <w:i/>
          <w:iCs/>
          <w:sz w:val="28"/>
          <w:szCs w:val="28"/>
          <w:lang w:val="af-ZA"/>
        </w:rPr>
        <w:t>Cơ sở giáo dục mầm non độc lập có nhóm trẻ/lớp mầm non từ 06 đến 36 tháng tuổi</w:t>
      </w:r>
      <w:r w:rsidR="00020F3B" w:rsidRPr="00741E32">
        <w:rPr>
          <w:i/>
          <w:iCs/>
          <w:spacing w:val="3"/>
          <w:sz w:val="28"/>
          <w:szCs w:val="28"/>
          <w:shd w:val="clear" w:color="auto" w:fill="FFFFFF"/>
          <w:lang w:val="fi-FI"/>
        </w:rPr>
        <w:t xml:space="preserve"> ở địa bàn có khu công nghiệp đã được cấp có thẩm quyền cấp phép thành lập theo đúng quy định; có từ 30% trẻ là con công nhân, người lao động tại khu công nghiệp.</w:t>
      </w:r>
    </w:p>
    <w:p w14:paraId="2344F74C" w14:textId="45CB8DEC" w:rsidR="00E01221" w:rsidRPr="00741E32" w:rsidRDefault="00213B54" w:rsidP="00A24779">
      <w:pPr>
        <w:spacing w:before="80"/>
        <w:ind w:firstLine="720"/>
        <w:jc w:val="both"/>
        <w:rPr>
          <w:sz w:val="28"/>
          <w:szCs w:val="28"/>
          <w:lang w:val="sv-SE" w:eastAsia="en-US"/>
        </w:rPr>
      </w:pPr>
      <w:r w:rsidRPr="00741E32">
        <w:rPr>
          <w:i/>
          <w:iCs/>
          <w:sz w:val="28"/>
          <w:szCs w:val="28"/>
          <w:lang w:val="sv-SE"/>
        </w:rPr>
        <w:t xml:space="preserve">- </w:t>
      </w:r>
      <w:r w:rsidR="00C66F94" w:rsidRPr="00741E32">
        <w:rPr>
          <w:i/>
          <w:iCs/>
          <w:sz w:val="28"/>
          <w:szCs w:val="28"/>
          <w:lang w:val="sv-SE"/>
        </w:rPr>
        <w:t>Tác động đối với hệ thống pháp luật:</w:t>
      </w:r>
      <w:r w:rsidR="00C66F94" w:rsidRPr="00741E32">
        <w:rPr>
          <w:sz w:val="28"/>
          <w:szCs w:val="28"/>
          <w:lang w:val="sv-SE"/>
        </w:rPr>
        <w:t xml:space="preserve"> </w:t>
      </w:r>
      <w:r w:rsidR="00E01221" w:rsidRPr="00741E32">
        <w:rPr>
          <w:sz w:val="28"/>
          <w:szCs w:val="28"/>
          <w:lang w:val="sv-SE"/>
        </w:rPr>
        <w:t xml:space="preserve">Giải pháp </w:t>
      </w:r>
      <w:r w:rsidR="00171A5B" w:rsidRPr="00741E32">
        <w:rPr>
          <w:sz w:val="28"/>
          <w:szCs w:val="28"/>
          <w:lang w:val="sv-SE"/>
        </w:rPr>
        <w:t>2</w:t>
      </w:r>
      <w:r w:rsidR="00E01221" w:rsidRPr="00741E32">
        <w:rPr>
          <w:sz w:val="28"/>
          <w:szCs w:val="28"/>
          <w:lang w:val="sv-SE"/>
        </w:rPr>
        <w:t xml:space="preserve"> phù hợp </w:t>
      </w:r>
      <w:r w:rsidR="007240F6" w:rsidRPr="00741E32">
        <w:rPr>
          <w:sz w:val="28"/>
          <w:szCs w:val="28"/>
          <w:lang w:val="sv-SE"/>
        </w:rPr>
        <w:t xml:space="preserve">với </w:t>
      </w:r>
      <w:r w:rsidR="00E01221" w:rsidRPr="00741E32">
        <w:rPr>
          <w:sz w:val="28"/>
          <w:szCs w:val="28"/>
          <w:lang w:val="sv-SE"/>
        </w:rPr>
        <w:t xml:space="preserve">thẩm quyền ban hành chính sách của HĐND tỉnh. Nội dung hỗ trợ bám sát các yêu cầu được quy định trong các văn bản của Trung ương như Nghị định </w:t>
      </w:r>
      <w:r w:rsidR="00F913B3" w:rsidRPr="00741E32">
        <w:rPr>
          <w:sz w:val="28"/>
          <w:szCs w:val="28"/>
          <w:lang w:val="sv-SE"/>
        </w:rPr>
        <w:t>105</w:t>
      </w:r>
      <w:r w:rsidR="00E01221" w:rsidRPr="00741E32">
        <w:rPr>
          <w:sz w:val="28"/>
          <w:szCs w:val="28"/>
          <w:lang w:val="sv-SE"/>
        </w:rPr>
        <w:t>/202</w:t>
      </w:r>
      <w:r w:rsidR="00F913B3" w:rsidRPr="00741E32">
        <w:rPr>
          <w:sz w:val="28"/>
          <w:szCs w:val="28"/>
          <w:lang w:val="sv-SE"/>
        </w:rPr>
        <w:t>1</w:t>
      </w:r>
      <w:r w:rsidR="00E01221" w:rsidRPr="00741E32">
        <w:rPr>
          <w:sz w:val="28"/>
          <w:szCs w:val="28"/>
          <w:lang w:val="sv-SE"/>
        </w:rPr>
        <w:t>/NĐ</w:t>
      </w:r>
      <w:r w:rsidR="00E01221" w:rsidRPr="00741E32">
        <w:rPr>
          <w:sz w:val="28"/>
          <w:szCs w:val="28"/>
          <w:lang w:val="sv-SE"/>
        </w:rPr>
        <w:noBreakHyphen/>
        <w:t xml:space="preserve">CP, </w:t>
      </w:r>
      <w:r w:rsidR="00AD5861" w:rsidRPr="00741E32">
        <w:rPr>
          <w:sz w:val="28"/>
          <w:szCs w:val="28"/>
          <w:lang w:val="sv-SE"/>
        </w:rPr>
        <w:t xml:space="preserve">Nghị định 277/NĐ-CP, </w:t>
      </w:r>
      <w:r w:rsidR="00E01221" w:rsidRPr="00741E32">
        <w:rPr>
          <w:sz w:val="28"/>
          <w:szCs w:val="28"/>
          <w:lang w:val="sv-SE"/>
        </w:rPr>
        <w:t>Quyết định 2270/QĐ</w:t>
      </w:r>
      <w:r w:rsidR="00E01221" w:rsidRPr="00741E32">
        <w:rPr>
          <w:sz w:val="28"/>
          <w:szCs w:val="28"/>
          <w:lang w:val="sv-SE"/>
        </w:rPr>
        <w:noBreakHyphen/>
        <w:t>TTg</w:t>
      </w:r>
      <w:r w:rsidR="00AA1D01" w:rsidRPr="00741E32">
        <w:rPr>
          <w:sz w:val="28"/>
          <w:szCs w:val="28"/>
          <w:lang w:val="sv-SE" w:eastAsia="en-US"/>
        </w:rPr>
        <w:t xml:space="preserve">. </w:t>
      </w:r>
      <w:r w:rsidR="00E01221" w:rsidRPr="00741E32">
        <w:rPr>
          <w:sz w:val="28"/>
          <w:szCs w:val="28"/>
          <w:lang w:val="sv-SE"/>
        </w:rPr>
        <w:t>Giải pháp góp phần bãi bỏ các quy định không còn phù hợp trong Nghị quyết 32/2021</w:t>
      </w:r>
      <w:r w:rsidR="008F6E54" w:rsidRPr="00741E32">
        <w:rPr>
          <w:sz w:val="28"/>
          <w:szCs w:val="28"/>
          <w:lang w:val="sv-SE"/>
        </w:rPr>
        <w:t>/NQ-HĐND</w:t>
      </w:r>
      <w:r w:rsidR="00E01221" w:rsidRPr="00741E32">
        <w:rPr>
          <w:sz w:val="28"/>
          <w:szCs w:val="28"/>
          <w:lang w:val="sv-SE"/>
        </w:rPr>
        <w:t xml:space="preserve"> và Nghị quyết 69/2021</w:t>
      </w:r>
      <w:r w:rsidR="008F6E54" w:rsidRPr="00741E32">
        <w:rPr>
          <w:sz w:val="28"/>
          <w:szCs w:val="28"/>
          <w:lang w:val="sv-SE"/>
        </w:rPr>
        <w:t>/NQ-HĐND</w:t>
      </w:r>
      <w:r w:rsidR="00E01221" w:rsidRPr="00741E32">
        <w:rPr>
          <w:sz w:val="28"/>
          <w:szCs w:val="28"/>
          <w:lang w:val="sv-SE"/>
        </w:rPr>
        <w:t xml:space="preserve"> khi Nghị quyết mới có hiệu lực.</w:t>
      </w:r>
    </w:p>
    <w:p w14:paraId="4824250C" w14:textId="655B9BD6" w:rsidR="00897813" w:rsidRPr="00741E32" w:rsidRDefault="00213B54" w:rsidP="00A24779">
      <w:pPr>
        <w:spacing w:before="80"/>
        <w:ind w:firstLine="720"/>
        <w:jc w:val="both"/>
        <w:rPr>
          <w:sz w:val="28"/>
          <w:szCs w:val="28"/>
          <w:lang w:val="sv-SE" w:eastAsia="en-US"/>
        </w:rPr>
      </w:pPr>
      <w:r w:rsidRPr="00741E32">
        <w:rPr>
          <w:i/>
          <w:iCs/>
          <w:sz w:val="28"/>
          <w:szCs w:val="28"/>
          <w:lang w:val="sv-SE"/>
        </w:rPr>
        <w:t xml:space="preserve">- </w:t>
      </w:r>
      <w:r w:rsidR="00C66F94" w:rsidRPr="00741E32">
        <w:rPr>
          <w:i/>
          <w:iCs/>
          <w:sz w:val="28"/>
          <w:szCs w:val="28"/>
          <w:lang w:val="sv-SE"/>
        </w:rPr>
        <w:t xml:space="preserve">Tác động </w:t>
      </w:r>
      <w:r w:rsidR="00971799" w:rsidRPr="00741E32">
        <w:rPr>
          <w:i/>
          <w:iCs/>
          <w:sz w:val="28"/>
          <w:szCs w:val="28"/>
          <w:lang w:val="sv-SE"/>
        </w:rPr>
        <w:t xml:space="preserve">về </w:t>
      </w:r>
      <w:r w:rsidR="00C66F94" w:rsidRPr="00741E32">
        <w:rPr>
          <w:i/>
          <w:iCs/>
          <w:sz w:val="28"/>
          <w:szCs w:val="28"/>
          <w:lang w:val="sv-SE"/>
        </w:rPr>
        <w:t>kinh tế – xã hội:</w:t>
      </w:r>
      <w:r w:rsidR="00C66F94" w:rsidRPr="00741E32">
        <w:rPr>
          <w:sz w:val="28"/>
          <w:szCs w:val="28"/>
          <w:lang w:val="sv-SE"/>
        </w:rPr>
        <w:t xml:space="preserve"> </w:t>
      </w:r>
      <w:r w:rsidR="00E01221" w:rsidRPr="00741E32">
        <w:rPr>
          <w:sz w:val="28"/>
          <w:szCs w:val="28"/>
          <w:lang w:val="sv-SE"/>
        </w:rPr>
        <w:t xml:space="preserve">Khoản hỗ trợ khuyến khích cơ sở đầu tư nâng chuẩn an toàn, cải thiện điều kiện chăm sóc trẻ nhỏ gần khu công nghiệp; giảm áp lực mở rộng cơ sở công lập tại các điểm nóng và tạo thêm chỗ học cho con công </w:t>
      </w:r>
      <w:r w:rsidR="00E01221" w:rsidRPr="00741E32">
        <w:rPr>
          <w:sz w:val="28"/>
          <w:szCs w:val="28"/>
          <w:lang w:val="sv-SE"/>
        </w:rPr>
        <w:lastRenderedPageBreak/>
        <w:t>nhân</w:t>
      </w:r>
      <w:r w:rsidR="00AA1D01" w:rsidRPr="00741E32">
        <w:rPr>
          <w:sz w:val="28"/>
          <w:szCs w:val="28"/>
          <w:lang w:val="sv-SE"/>
        </w:rPr>
        <w:t xml:space="preserve">; </w:t>
      </w:r>
      <w:r w:rsidR="00E01221" w:rsidRPr="00741E32">
        <w:rPr>
          <w:sz w:val="28"/>
          <w:szCs w:val="28"/>
          <w:lang w:val="sv-SE"/>
        </w:rPr>
        <w:t>giúp đáp ứng đặc thù làm việc ca kíp của người lao động, tăng tính an toàn và ổn định trong chăm sóc trẻ</w:t>
      </w:r>
      <w:r w:rsidR="00AA1D01" w:rsidRPr="00741E32">
        <w:rPr>
          <w:sz w:val="28"/>
          <w:szCs w:val="28"/>
          <w:lang w:val="sv-SE"/>
        </w:rPr>
        <w:t xml:space="preserve">, góp phần </w:t>
      </w:r>
      <w:r w:rsidR="00897813" w:rsidRPr="00741E32">
        <w:rPr>
          <w:sz w:val="28"/>
          <w:szCs w:val="28"/>
          <w:lang w:val="sv-SE" w:eastAsia="en-US"/>
        </w:rPr>
        <w:t>đáp ứng yêu cầu đạt các chỉ số của Chiến lược phát triển giáo dục đến năm 2030 và định hướng những năm tiếp theo</w:t>
      </w:r>
      <w:r w:rsidR="00257677" w:rsidRPr="00741E32">
        <w:rPr>
          <w:sz w:val="28"/>
          <w:szCs w:val="28"/>
          <w:lang w:val="sv-SE" w:eastAsia="en-US"/>
        </w:rPr>
        <w:t xml:space="preserve">. </w:t>
      </w:r>
    </w:p>
    <w:p w14:paraId="17CA44B5" w14:textId="272787C1" w:rsidR="00213B54" w:rsidRPr="00741E32" w:rsidRDefault="00213B54" w:rsidP="00A24779">
      <w:pPr>
        <w:spacing w:before="80"/>
        <w:ind w:firstLine="720"/>
        <w:jc w:val="both"/>
        <w:rPr>
          <w:sz w:val="28"/>
          <w:szCs w:val="28"/>
          <w:lang w:val="sv-SE"/>
        </w:rPr>
      </w:pPr>
      <w:r w:rsidRPr="00741E32">
        <w:rPr>
          <w:i/>
          <w:iCs/>
          <w:sz w:val="28"/>
          <w:szCs w:val="28"/>
          <w:lang w:val="sv-SE"/>
        </w:rPr>
        <w:t xml:space="preserve">- </w:t>
      </w:r>
      <w:r w:rsidR="00C66F94" w:rsidRPr="00741E32">
        <w:rPr>
          <w:i/>
          <w:iCs/>
          <w:sz w:val="28"/>
          <w:szCs w:val="28"/>
          <w:lang w:val="sv-SE"/>
        </w:rPr>
        <w:t>Tác động về giới:</w:t>
      </w:r>
      <w:r w:rsidR="00C66F94" w:rsidRPr="00741E32">
        <w:rPr>
          <w:sz w:val="28"/>
          <w:szCs w:val="28"/>
          <w:lang w:val="sv-SE"/>
        </w:rPr>
        <w:t xml:space="preserve"> </w:t>
      </w:r>
      <w:r w:rsidRPr="00741E32">
        <w:rPr>
          <w:sz w:val="28"/>
          <w:szCs w:val="28"/>
          <w:lang w:val="sv-SE"/>
        </w:rPr>
        <w:t>Tăng khả năng duy trì việc làm cho lao động nữ có con nhỏ</w:t>
      </w:r>
      <w:r w:rsidR="00211C2A" w:rsidRPr="00741E32">
        <w:rPr>
          <w:rFonts w:eastAsia="Georgia"/>
          <w:sz w:val="28"/>
          <w:szCs w:val="28"/>
          <w:lang w:val="sv-SE"/>
        </w:rPr>
        <w:t>, giúp người lao động yên tâm làm việc</w:t>
      </w:r>
      <w:r w:rsidRPr="00741E32">
        <w:rPr>
          <w:sz w:val="28"/>
          <w:szCs w:val="28"/>
          <w:lang w:val="sv-SE"/>
        </w:rPr>
        <w:t xml:space="preserve">; tăng cơ hội tiếp cận dịch vụ trông giữ an toàn, chất lượng. </w:t>
      </w:r>
    </w:p>
    <w:p w14:paraId="43D1B80A" w14:textId="5289AAB4" w:rsidR="00E01221" w:rsidRPr="00741E32" w:rsidRDefault="00213B54" w:rsidP="00A24779">
      <w:pPr>
        <w:spacing w:before="80"/>
        <w:ind w:firstLine="720"/>
        <w:jc w:val="both"/>
        <w:rPr>
          <w:sz w:val="28"/>
          <w:szCs w:val="28"/>
          <w:lang w:val="sv-SE" w:eastAsia="en-US"/>
        </w:rPr>
      </w:pPr>
      <w:r w:rsidRPr="00741E32">
        <w:rPr>
          <w:i/>
          <w:iCs/>
          <w:sz w:val="28"/>
          <w:szCs w:val="28"/>
          <w:lang w:val="sv-SE"/>
        </w:rPr>
        <w:t xml:space="preserve">- </w:t>
      </w:r>
      <w:r w:rsidR="00C66F94" w:rsidRPr="00741E32">
        <w:rPr>
          <w:i/>
          <w:iCs/>
          <w:sz w:val="28"/>
          <w:szCs w:val="28"/>
          <w:lang w:val="sv-SE"/>
        </w:rPr>
        <w:t>Tác động</w:t>
      </w:r>
      <w:r w:rsidRPr="00741E32">
        <w:rPr>
          <w:i/>
          <w:iCs/>
          <w:sz w:val="28"/>
          <w:szCs w:val="28"/>
          <w:lang w:val="sv-SE"/>
        </w:rPr>
        <w:t xml:space="preserve"> của</w:t>
      </w:r>
      <w:r w:rsidR="00C66F94" w:rsidRPr="00741E32">
        <w:rPr>
          <w:i/>
          <w:iCs/>
          <w:sz w:val="28"/>
          <w:szCs w:val="28"/>
          <w:lang w:val="sv-SE"/>
        </w:rPr>
        <w:t xml:space="preserve"> thủ tục hành chính:</w:t>
      </w:r>
      <w:r w:rsidR="00C66F94" w:rsidRPr="00741E32">
        <w:rPr>
          <w:sz w:val="28"/>
          <w:szCs w:val="28"/>
          <w:lang w:val="sv-SE"/>
        </w:rPr>
        <w:t xml:space="preserve"> </w:t>
      </w:r>
      <w:r w:rsidR="00E01221" w:rsidRPr="00741E32">
        <w:rPr>
          <w:sz w:val="28"/>
          <w:szCs w:val="28"/>
          <w:lang w:val="sv-SE" w:eastAsia="en-US"/>
        </w:rPr>
        <w:t xml:space="preserve">Giải pháp </w:t>
      </w:r>
      <w:r w:rsidR="00171A5B" w:rsidRPr="00741E32">
        <w:rPr>
          <w:sz w:val="28"/>
          <w:szCs w:val="28"/>
          <w:lang w:val="sv-SE" w:eastAsia="en-US"/>
        </w:rPr>
        <w:t>2</w:t>
      </w:r>
      <w:r w:rsidR="00E01221" w:rsidRPr="00741E32">
        <w:rPr>
          <w:sz w:val="28"/>
          <w:szCs w:val="28"/>
          <w:lang w:val="sv-SE" w:eastAsia="en-US"/>
        </w:rPr>
        <w:t xml:space="preserve"> có hồ sơ đơn giản, thực hiện gọn, chỉ chi trả 1 lần sau thẩm định; tuy nhiên cần cơ chế đối soát dữ liệu để xác định chính xác tỷ lệ trẻ là con công nhân.</w:t>
      </w:r>
    </w:p>
    <w:p w14:paraId="7B3462EE" w14:textId="77777777" w:rsidR="00A17DA8" w:rsidRPr="00741E32" w:rsidRDefault="0086248C" w:rsidP="00A24779">
      <w:pPr>
        <w:spacing w:before="80"/>
        <w:ind w:firstLine="720"/>
        <w:rPr>
          <w:b/>
          <w:sz w:val="28"/>
          <w:szCs w:val="28"/>
          <w:lang w:val="af-ZA"/>
        </w:rPr>
      </w:pPr>
      <w:bookmarkStart w:id="8" w:name="bm_1_2_giải_pháp_tối_ưu_được_lựa_3512a2"/>
      <w:r w:rsidRPr="00741E32">
        <w:rPr>
          <w:rFonts w:eastAsia="Georgia"/>
          <w:b/>
          <w:sz w:val="28"/>
          <w:szCs w:val="28"/>
          <w:lang w:val="af-ZA"/>
        </w:rPr>
        <w:t>1.2. Giải pháp tối ưu được lựa chọn và lý do lựa chọn</w:t>
      </w:r>
      <w:bookmarkEnd w:id="8"/>
    </w:p>
    <w:p w14:paraId="33DF519A" w14:textId="77777777" w:rsidR="00257677" w:rsidRPr="00741E32" w:rsidRDefault="00247DB8" w:rsidP="00A24779">
      <w:pPr>
        <w:spacing w:before="80"/>
        <w:ind w:firstLine="720"/>
        <w:jc w:val="both"/>
        <w:rPr>
          <w:i/>
          <w:iCs/>
          <w:spacing w:val="3"/>
          <w:sz w:val="28"/>
          <w:szCs w:val="28"/>
          <w:shd w:val="clear" w:color="auto" w:fill="FFFFFF"/>
          <w:lang w:val="fi-FI"/>
        </w:rPr>
      </w:pPr>
      <w:r w:rsidRPr="00741E32">
        <w:rPr>
          <w:i/>
          <w:sz w:val="28"/>
          <w:szCs w:val="28"/>
          <w:lang w:val="af-ZA"/>
        </w:rPr>
        <w:t>a)</w:t>
      </w:r>
      <w:r w:rsidR="00A17DA8" w:rsidRPr="00741E32">
        <w:rPr>
          <w:i/>
          <w:sz w:val="28"/>
          <w:szCs w:val="28"/>
          <w:lang w:val="af-ZA"/>
        </w:rPr>
        <w:t xml:space="preserve"> </w:t>
      </w:r>
      <w:r w:rsidR="0086248C" w:rsidRPr="00741E32">
        <w:rPr>
          <w:i/>
          <w:sz w:val="28"/>
          <w:szCs w:val="28"/>
          <w:lang w:val="af-ZA"/>
        </w:rPr>
        <w:t>Giải pháp được lựa chọn:</w:t>
      </w:r>
      <w:r w:rsidR="0086248C" w:rsidRPr="00741E32">
        <w:rPr>
          <w:rFonts w:eastAsia="Georgia"/>
          <w:sz w:val="28"/>
          <w:szCs w:val="28"/>
          <w:lang w:val="af-ZA"/>
        </w:rPr>
        <w:t xml:space="preserve"> </w:t>
      </w:r>
      <w:r w:rsidR="009B26E0" w:rsidRPr="00741E32">
        <w:rPr>
          <w:i/>
          <w:sz w:val="28"/>
          <w:szCs w:val="28"/>
          <w:lang w:val="sv-SE"/>
        </w:rPr>
        <w:t>Giải pháp 2:</w:t>
      </w:r>
      <w:r w:rsidR="009B26E0" w:rsidRPr="00741E32">
        <w:rPr>
          <w:sz w:val="28"/>
          <w:szCs w:val="28"/>
          <w:lang w:val="nl-NL"/>
        </w:rPr>
        <w:t xml:space="preserve"> </w:t>
      </w:r>
      <w:r w:rsidR="00257677" w:rsidRPr="00741E32">
        <w:rPr>
          <w:rFonts w:eastAsia="Georgia"/>
          <w:bCs/>
          <w:i/>
          <w:iCs/>
          <w:sz w:val="28"/>
          <w:szCs w:val="28"/>
          <w:lang w:val="sv-SE"/>
        </w:rPr>
        <w:t xml:space="preserve">Mức hỗ trợ: 20 triệu đồng/cơ sở. Tiêu chí thụ hưởng: </w:t>
      </w:r>
      <w:r w:rsidR="00257677" w:rsidRPr="00741E32">
        <w:rPr>
          <w:i/>
          <w:iCs/>
          <w:sz w:val="28"/>
          <w:szCs w:val="28"/>
          <w:lang w:val="af-ZA"/>
        </w:rPr>
        <w:t>Cơ sở giáo dục mầm non độc lập có nhóm trẻ/lớp mầm non từ 06 đến 36 tháng tuổi</w:t>
      </w:r>
      <w:r w:rsidR="00257677" w:rsidRPr="00741E32">
        <w:rPr>
          <w:i/>
          <w:iCs/>
          <w:spacing w:val="3"/>
          <w:sz w:val="28"/>
          <w:szCs w:val="28"/>
          <w:shd w:val="clear" w:color="auto" w:fill="FFFFFF"/>
          <w:lang w:val="fi-FI"/>
        </w:rPr>
        <w:t xml:space="preserve"> ở địa bàn có khu công nghiệp đã được cấp có thẩm quyền cấp phép thành lập theo đúng quy định; có từ 30% trẻ là con công nhân, người lao động tại khu công nghiệp.</w:t>
      </w:r>
    </w:p>
    <w:p w14:paraId="4C25F4E0" w14:textId="77777777" w:rsidR="000953BC" w:rsidRPr="00741E32" w:rsidRDefault="00247DB8" w:rsidP="000953BC">
      <w:pPr>
        <w:spacing w:before="80"/>
        <w:ind w:firstLine="720"/>
        <w:jc w:val="both"/>
        <w:rPr>
          <w:i/>
          <w:sz w:val="28"/>
          <w:szCs w:val="28"/>
          <w:lang w:val="sv-SE"/>
        </w:rPr>
      </w:pPr>
      <w:r w:rsidRPr="00741E32">
        <w:rPr>
          <w:i/>
          <w:sz w:val="28"/>
          <w:szCs w:val="28"/>
          <w:lang w:val="sv-SE"/>
        </w:rPr>
        <w:t>b)</w:t>
      </w:r>
      <w:r w:rsidR="00F05E23" w:rsidRPr="00741E32">
        <w:rPr>
          <w:i/>
          <w:sz w:val="28"/>
          <w:szCs w:val="28"/>
          <w:lang w:val="sv-SE"/>
        </w:rPr>
        <w:t xml:space="preserve"> </w:t>
      </w:r>
      <w:r w:rsidRPr="00741E32">
        <w:rPr>
          <w:i/>
          <w:sz w:val="28"/>
          <w:szCs w:val="28"/>
          <w:lang w:val="sv-SE"/>
        </w:rPr>
        <w:t>Lý do lựa chọn</w:t>
      </w:r>
      <w:r w:rsidR="00385866" w:rsidRPr="00741E32">
        <w:rPr>
          <w:i/>
          <w:sz w:val="28"/>
          <w:szCs w:val="28"/>
          <w:lang w:val="sv-SE"/>
        </w:rPr>
        <w:t xml:space="preserve"> </w:t>
      </w:r>
    </w:p>
    <w:p w14:paraId="77DD32E3" w14:textId="77777777" w:rsidR="00672DA6" w:rsidRPr="00741E32" w:rsidRDefault="00247DB8" w:rsidP="00672DA6">
      <w:pPr>
        <w:spacing w:before="80"/>
        <w:ind w:firstLine="720"/>
        <w:jc w:val="both"/>
        <w:rPr>
          <w:sz w:val="28"/>
          <w:szCs w:val="28"/>
          <w:shd w:val="clear" w:color="auto" w:fill="FFFFFF"/>
          <w:lang w:val="af-ZA"/>
        </w:rPr>
      </w:pPr>
      <w:r w:rsidRPr="00741E32">
        <w:rPr>
          <w:sz w:val="28"/>
          <w:szCs w:val="28"/>
          <w:lang w:val="sv-SE"/>
        </w:rPr>
        <w:t xml:space="preserve">- </w:t>
      </w:r>
      <w:r w:rsidR="00AF1752" w:rsidRPr="00741E32">
        <w:rPr>
          <w:sz w:val="28"/>
          <w:szCs w:val="28"/>
          <w:lang w:val="sv-SE"/>
        </w:rPr>
        <w:t xml:space="preserve">Đảm bảo tính thống nhất, đồng bộ: </w:t>
      </w:r>
      <w:r w:rsidR="00672DA6" w:rsidRPr="00741E32">
        <w:rPr>
          <w:sz w:val="28"/>
          <w:szCs w:val="28"/>
          <w:lang w:val="sv-SE"/>
        </w:rPr>
        <w:t xml:space="preserve">Phù hợp với quy định tại </w:t>
      </w:r>
      <w:r w:rsidR="00672DA6" w:rsidRPr="00741E32">
        <w:rPr>
          <w:rFonts w:eastAsia="Georgia"/>
          <w:sz w:val="28"/>
          <w:szCs w:val="28"/>
          <w:lang w:val="sv-SE"/>
        </w:rPr>
        <w:t>Nghị định số 105/2020/NĐ-CP về chính sách phát triển giáo dục mầm non</w:t>
      </w:r>
      <w:r w:rsidR="00672DA6" w:rsidRPr="00741E32">
        <w:rPr>
          <w:sz w:val="28"/>
          <w:szCs w:val="28"/>
          <w:lang w:val="sv-SE"/>
        </w:rPr>
        <w:t xml:space="preserve">; </w:t>
      </w:r>
      <w:r w:rsidR="00672DA6" w:rsidRPr="00741E32">
        <w:rPr>
          <w:sz w:val="28"/>
          <w:szCs w:val="28"/>
          <w:lang w:val="fi-FI"/>
        </w:rPr>
        <w:t>đ</w:t>
      </w:r>
      <w:r w:rsidR="00672DA6" w:rsidRPr="00741E32">
        <w:rPr>
          <w:sz w:val="28"/>
          <w:szCs w:val="28"/>
          <w:lang w:val="sv-SE"/>
        </w:rPr>
        <w:t xml:space="preserve">áp ứng </w:t>
      </w:r>
      <w:r w:rsidR="00672DA6" w:rsidRPr="00741E32">
        <w:rPr>
          <w:sz w:val="28"/>
          <w:szCs w:val="28"/>
          <w:shd w:val="clear" w:color="auto" w:fill="FFFFFF"/>
          <w:lang w:val="af-ZA"/>
        </w:rPr>
        <w:t>Quyết định số 2270/QĐ-TTg ngày 14/10/2025 của Thủ tướng Chính phủ về việc phê duyệt Chương trình “Nâng cao chất lượng giáo dục mầm non ở địa bàn đô thị, khu công nghiệp giai đoạn 2025-2035, định hướng đến năm 2045”.</w:t>
      </w:r>
    </w:p>
    <w:p w14:paraId="537BCD06" w14:textId="3ADE3EB1" w:rsidR="00672DA6" w:rsidRPr="00741E32" w:rsidRDefault="00672DA6" w:rsidP="00672DA6">
      <w:pPr>
        <w:spacing w:before="80"/>
        <w:ind w:firstLine="720"/>
        <w:jc w:val="both"/>
        <w:rPr>
          <w:sz w:val="28"/>
          <w:szCs w:val="28"/>
          <w:lang w:val="sv-SE"/>
        </w:rPr>
      </w:pPr>
      <w:r w:rsidRPr="00741E32">
        <w:rPr>
          <w:sz w:val="28"/>
          <w:szCs w:val="28"/>
          <w:shd w:val="clear" w:color="auto" w:fill="FFFFFF"/>
          <w:lang w:val="af-ZA"/>
        </w:rPr>
        <w:t xml:space="preserve">- </w:t>
      </w:r>
      <w:r w:rsidRPr="00741E32">
        <w:rPr>
          <w:sz w:val="28"/>
          <w:szCs w:val="28"/>
          <w:lang w:val="sv-SE"/>
        </w:rPr>
        <w:t xml:space="preserve">Phân định rõ ràng đối tượng thụ hưởng trong cơ sở giáo dục mầm non độc lập tại địa bàn khu công nghiệp, nơi có nhiều lao động, chăm sóc, nuôi dưỡng trẻ em từ 06 đến 36 tháng, nhóm tuổi có nhu cầu chăm sóc đặc thù và chưa có chính sách hỗ trợ riêng. </w:t>
      </w:r>
    </w:p>
    <w:p w14:paraId="765822D4" w14:textId="7A62EAB7" w:rsidR="00672DA6" w:rsidRPr="00741E32" w:rsidRDefault="00672DA6" w:rsidP="00672DA6">
      <w:pPr>
        <w:spacing w:before="80"/>
        <w:ind w:firstLine="720"/>
        <w:jc w:val="both"/>
        <w:rPr>
          <w:sz w:val="28"/>
          <w:szCs w:val="28"/>
          <w:lang w:val="af-ZA"/>
        </w:rPr>
      </w:pPr>
      <w:r w:rsidRPr="00741E32">
        <w:rPr>
          <w:sz w:val="28"/>
          <w:szCs w:val="28"/>
          <w:lang w:val="sv-SE"/>
        </w:rPr>
        <w:t>- Tránh trùng lặp với Nghị định 277/NĐ-CP:</w:t>
      </w:r>
      <w:r w:rsidRPr="00741E32">
        <w:rPr>
          <w:sz w:val="28"/>
          <w:szCs w:val="28"/>
          <w:lang w:val="af-ZA"/>
        </w:rPr>
        <w:t xml:space="preserve"> Các cơ sở mầm non độc lập có trẻ</w:t>
      </w:r>
      <w:r w:rsidR="00F43E51" w:rsidRPr="00741E32">
        <w:rPr>
          <w:sz w:val="28"/>
          <w:szCs w:val="28"/>
          <w:lang w:val="af-ZA"/>
        </w:rPr>
        <w:t xml:space="preserve"> từ</w:t>
      </w:r>
      <w:r w:rsidRPr="00741E32">
        <w:rPr>
          <w:sz w:val="28"/>
          <w:szCs w:val="28"/>
          <w:lang w:val="af-ZA"/>
        </w:rPr>
        <w:t xml:space="preserve"> 3–5 tuổi đã được nhận chính sách theo Nghị định 277/2025/NĐ</w:t>
      </w:r>
      <w:r w:rsidRPr="00741E32">
        <w:rPr>
          <w:sz w:val="28"/>
          <w:szCs w:val="28"/>
          <w:lang w:val="af-ZA"/>
        </w:rPr>
        <w:noBreakHyphen/>
        <w:t xml:space="preserve">CP. </w:t>
      </w:r>
      <w:r w:rsidRPr="00741E32">
        <w:rPr>
          <w:sz w:val="28"/>
          <w:szCs w:val="28"/>
          <w:lang w:val="sv-SE"/>
        </w:rPr>
        <w:t xml:space="preserve">Nghị quyết mới thu hẹp phạm vi hỗ trợ, chỉ áp dụng đối với cơ sở giáo dục mầm non độc lập có nhóm trẻ/lớp mầm non từ 06–36 tháng tuổi. </w:t>
      </w:r>
    </w:p>
    <w:p w14:paraId="7F0D6442" w14:textId="12106BBD" w:rsidR="00923CB3" w:rsidRPr="00741E32" w:rsidRDefault="00923CB3" w:rsidP="00A24779">
      <w:pPr>
        <w:spacing w:before="80"/>
        <w:ind w:firstLine="720"/>
        <w:jc w:val="both"/>
        <w:rPr>
          <w:bCs/>
          <w:sz w:val="28"/>
          <w:szCs w:val="28"/>
          <w:shd w:val="clear" w:color="auto" w:fill="FFFFFF"/>
          <w:lang w:val="sv-SE"/>
        </w:rPr>
      </w:pPr>
      <w:r w:rsidRPr="00741E32">
        <w:rPr>
          <w:sz w:val="28"/>
          <w:szCs w:val="28"/>
          <w:lang w:val="sv-SE"/>
        </w:rPr>
        <w:t>- Đảm bảo tính công bằng:</w:t>
      </w:r>
      <w:r w:rsidRPr="00741E32">
        <w:rPr>
          <w:rFonts w:eastAsia="Georgia"/>
          <w:sz w:val="28"/>
          <w:szCs w:val="28"/>
          <w:lang w:val="sv-SE"/>
        </w:rPr>
        <w:t xml:space="preserve"> Đảm bảo quyền lợi như nhau cho các đối tượng thụ hưởng trên toàn địa bàn tỉnh</w:t>
      </w:r>
      <w:r w:rsidR="00162E90" w:rsidRPr="00741E32">
        <w:rPr>
          <w:rFonts w:eastAsia="Georgia"/>
          <w:sz w:val="28"/>
          <w:szCs w:val="28"/>
          <w:lang w:val="sv-SE"/>
        </w:rPr>
        <w:t xml:space="preserve">. </w:t>
      </w:r>
      <w:r w:rsidRPr="00741E32">
        <w:rPr>
          <w:rFonts w:eastAsia="Georgia"/>
          <w:sz w:val="28"/>
          <w:szCs w:val="28"/>
          <w:lang w:val="sv-SE"/>
        </w:rPr>
        <w:t xml:space="preserve">Động viên, khuyến khích các cơ sở giáo dục mầm non </w:t>
      </w:r>
      <w:r w:rsidRPr="00741E32">
        <w:rPr>
          <w:bCs/>
          <w:sz w:val="28"/>
          <w:szCs w:val="28"/>
          <w:lang w:val="vi-VN"/>
        </w:rPr>
        <w:t xml:space="preserve">độc lập </w:t>
      </w:r>
      <w:r w:rsidRPr="00741E32">
        <w:rPr>
          <w:bCs/>
          <w:sz w:val="28"/>
          <w:szCs w:val="28"/>
          <w:lang w:val="sv-SE"/>
        </w:rPr>
        <w:t xml:space="preserve">có trẻ em từ </w:t>
      </w:r>
      <w:r w:rsidR="004464F0" w:rsidRPr="00741E32">
        <w:rPr>
          <w:bCs/>
          <w:sz w:val="28"/>
          <w:szCs w:val="28"/>
          <w:lang w:val="sv-SE"/>
        </w:rPr>
        <w:t>0</w:t>
      </w:r>
      <w:r w:rsidRPr="00741E32">
        <w:rPr>
          <w:bCs/>
          <w:sz w:val="28"/>
          <w:szCs w:val="28"/>
          <w:lang w:val="sv-SE"/>
        </w:rPr>
        <w:t xml:space="preserve">6 đến 36 tháng tuổi </w:t>
      </w:r>
      <w:r w:rsidRPr="00741E32">
        <w:rPr>
          <w:bCs/>
          <w:sz w:val="28"/>
          <w:szCs w:val="28"/>
          <w:lang w:val="vi-VN"/>
        </w:rPr>
        <w:t>ở địa bàn có khu công nghiệp</w:t>
      </w:r>
      <w:r w:rsidRPr="00741E32">
        <w:rPr>
          <w:bCs/>
          <w:sz w:val="28"/>
          <w:szCs w:val="28"/>
          <w:lang w:val="sv-SE"/>
        </w:rPr>
        <w:t>, nơi có nhiều lao động</w:t>
      </w:r>
      <w:r w:rsidRPr="00741E32">
        <w:rPr>
          <w:bCs/>
          <w:sz w:val="28"/>
          <w:szCs w:val="28"/>
          <w:lang w:val="vi-VN"/>
        </w:rPr>
        <w:t xml:space="preserve"> trên địa bàn tỉnh </w:t>
      </w:r>
      <w:r w:rsidRPr="00741E32">
        <w:rPr>
          <w:bCs/>
          <w:sz w:val="28"/>
          <w:szCs w:val="28"/>
          <w:shd w:val="clear" w:color="auto" w:fill="FFFFFF"/>
          <w:lang w:val="sv-SE"/>
        </w:rPr>
        <w:t>Quảng Ngãi.</w:t>
      </w:r>
    </w:p>
    <w:p w14:paraId="497321E8" w14:textId="73D58B45" w:rsidR="009B26E0" w:rsidRPr="00741E32" w:rsidRDefault="00923CB3" w:rsidP="00A24779">
      <w:pPr>
        <w:spacing w:before="80"/>
        <w:ind w:firstLine="720"/>
        <w:jc w:val="both"/>
        <w:rPr>
          <w:b/>
          <w:spacing w:val="3"/>
          <w:sz w:val="28"/>
          <w:szCs w:val="28"/>
          <w:shd w:val="clear" w:color="auto" w:fill="FFFFFF"/>
          <w:lang w:val="fi-FI"/>
        </w:rPr>
      </w:pPr>
      <w:bookmarkStart w:id="9" w:name="bm_2_chính_sách_2_hỗ_trợ_trẻ_em_m_81480c"/>
      <w:r w:rsidRPr="00741E32">
        <w:rPr>
          <w:b/>
          <w:bCs/>
          <w:sz w:val="28"/>
          <w:szCs w:val="28"/>
          <w:lang w:val="sv-SE"/>
        </w:rPr>
        <w:t>2.</w:t>
      </w:r>
      <w:r w:rsidRPr="00741E32">
        <w:rPr>
          <w:b/>
          <w:sz w:val="28"/>
          <w:szCs w:val="28"/>
          <w:lang w:val="sv-SE"/>
        </w:rPr>
        <w:t xml:space="preserve"> </w:t>
      </w:r>
      <w:r w:rsidRPr="00741E32">
        <w:rPr>
          <w:rFonts w:eastAsia="Georgia"/>
          <w:b/>
          <w:sz w:val="28"/>
          <w:szCs w:val="28"/>
          <w:lang w:val="sv-SE"/>
        </w:rPr>
        <w:t xml:space="preserve">Chính sách 2: </w:t>
      </w:r>
      <w:r w:rsidR="006F5941" w:rsidRPr="00741E32">
        <w:rPr>
          <w:rFonts w:eastAsia="Georgia"/>
          <w:b/>
          <w:sz w:val="28"/>
          <w:szCs w:val="28"/>
          <w:lang w:val="sv-SE"/>
        </w:rPr>
        <w:t>Hỗ trợ t</w:t>
      </w:r>
      <w:r w:rsidR="006F5941" w:rsidRPr="00741E32">
        <w:rPr>
          <w:b/>
          <w:spacing w:val="3"/>
          <w:sz w:val="28"/>
          <w:szCs w:val="28"/>
          <w:shd w:val="clear" w:color="auto" w:fill="FFFFFF"/>
          <w:lang w:val="fi-FI"/>
        </w:rPr>
        <w:t xml:space="preserve">rẻ em từ </w:t>
      </w:r>
      <w:r w:rsidR="00CB438E" w:rsidRPr="00741E32">
        <w:rPr>
          <w:b/>
          <w:spacing w:val="3"/>
          <w:sz w:val="28"/>
          <w:szCs w:val="28"/>
          <w:shd w:val="clear" w:color="auto" w:fill="FFFFFF"/>
          <w:lang w:val="fi-FI"/>
        </w:rPr>
        <w:t>0</w:t>
      </w:r>
      <w:r w:rsidR="006F5941" w:rsidRPr="00741E32">
        <w:rPr>
          <w:b/>
          <w:spacing w:val="3"/>
          <w:sz w:val="28"/>
          <w:szCs w:val="28"/>
          <w:shd w:val="clear" w:color="auto" w:fill="FFFFFF"/>
          <w:lang w:val="fi-FI"/>
        </w:rPr>
        <w:t xml:space="preserve">6 đến 36 tháng tuổi đang học tại các cơ sở giáo dục mầm non </w:t>
      </w:r>
      <w:r w:rsidR="00F07675" w:rsidRPr="00741E32">
        <w:rPr>
          <w:b/>
          <w:spacing w:val="3"/>
          <w:sz w:val="28"/>
          <w:szCs w:val="28"/>
          <w:shd w:val="clear" w:color="auto" w:fill="FFFFFF"/>
          <w:lang w:val="fi-FI"/>
        </w:rPr>
        <w:t xml:space="preserve">ngoài công lập </w:t>
      </w:r>
      <w:r w:rsidR="006F5941" w:rsidRPr="00741E32">
        <w:rPr>
          <w:b/>
          <w:spacing w:val="3"/>
          <w:sz w:val="28"/>
          <w:szCs w:val="28"/>
          <w:shd w:val="clear" w:color="auto" w:fill="FFFFFF"/>
          <w:lang w:val="fi-FI"/>
        </w:rPr>
        <w:t>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14:paraId="296AC7C7" w14:textId="0E3FA99A" w:rsidR="00162E90" w:rsidRPr="00741E32" w:rsidRDefault="00902195" w:rsidP="00A24779">
      <w:pPr>
        <w:spacing w:before="80"/>
        <w:ind w:firstLine="720"/>
        <w:rPr>
          <w:rFonts w:eastAsia="Georgia"/>
          <w:b/>
          <w:sz w:val="28"/>
          <w:szCs w:val="28"/>
          <w:lang w:val="sv-SE"/>
        </w:rPr>
      </w:pPr>
      <w:r w:rsidRPr="00741E32">
        <w:rPr>
          <w:rFonts w:eastAsia="Georgia"/>
          <w:b/>
          <w:sz w:val="28"/>
          <w:szCs w:val="28"/>
          <w:lang w:val="sv-SE"/>
        </w:rPr>
        <w:t>2</w:t>
      </w:r>
      <w:r w:rsidR="00162E90" w:rsidRPr="00741E32">
        <w:rPr>
          <w:rFonts w:eastAsia="Georgia"/>
          <w:b/>
          <w:sz w:val="28"/>
          <w:szCs w:val="28"/>
          <w:lang w:val="sv-SE"/>
        </w:rPr>
        <w:t>.1. Đánh giá tác động</w:t>
      </w:r>
    </w:p>
    <w:bookmarkEnd w:id="9"/>
    <w:p w14:paraId="6E438334" w14:textId="0CEC11C5" w:rsidR="00162E90" w:rsidRPr="00741E32" w:rsidRDefault="00162E90" w:rsidP="00A24779">
      <w:pPr>
        <w:spacing w:before="80"/>
        <w:ind w:firstLine="720"/>
        <w:jc w:val="both"/>
        <w:rPr>
          <w:i/>
          <w:sz w:val="28"/>
          <w:szCs w:val="28"/>
          <w:lang w:val="sv-SE"/>
        </w:rPr>
      </w:pPr>
      <w:r w:rsidRPr="00741E32">
        <w:rPr>
          <w:i/>
          <w:sz w:val="28"/>
          <w:szCs w:val="28"/>
          <w:lang w:val="sv-SE"/>
        </w:rPr>
        <w:t>a) Giải pháp 1: Hỗ trợ 150,000 đồng/trẻ/tháng (không quá 9 tháng/năm học).</w:t>
      </w:r>
    </w:p>
    <w:p w14:paraId="416C47B6" w14:textId="397E417D" w:rsidR="006D3319" w:rsidRPr="00741E32" w:rsidRDefault="00162E90" w:rsidP="00A24779">
      <w:pPr>
        <w:spacing w:before="80"/>
        <w:ind w:firstLine="720"/>
        <w:jc w:val="both"/>
        <w:rPr>
          <w:iCs/>
          <w:sz w:val="28"/>
          <w:szCs w:val="28"/>
          <w:lang w:val="sv-SE"/>
        </w:rPr>
      </w:pPr>
      <w:r w:rsidRPr="00741E32">
        <w:rPr>
          <w:i/>
          <w:sz w:val="28"/>
          <w:szCs w:val="28"/>
          <w:lang w:val="sv-SE"/>
        </w:rPr>
        <w:lastRenderedPageBreak/>
        <w:t>-  Tác động đối với hệ thống pháp luật:</w:t>
      </w:r>
      <w:r w:rsidR="006D3319" w:rsidRPr="00741E32">
        <w:rPr>
          <w:i/>
          <w:sz w:val="28"/>
          <w:szCs w:val="28"/>
          <w:lang w:val="sv-SE"/>
        </w:rPr>
        <w:t xml:space="preserve"> </w:t>
      </w:r>
      <w:r w:rsidR="006D3319" w:rsidRPr="00741E32">
        <w:rPr>
          <w:iCs/>
          <w:sz w:val="28"/>
          <w:szCs w:val="28"/>
          <w:lang w:val="sv-SE"/>
        </w:rPr>
        <w:t xml:space="preserve">Giải pháp có mức hỗ trợ </w:t>
      </w:r>
      <w:r w:rsidR="002B18C4" w:rsidRPr="00741E32">
        <w:rPr>
          <w:iCs/>
          <w:sz w:val="28"/>
          <w:szCs w:val="28"/>
          <w:lang w:val="sv-SE"/>
        </w:rPr>
        <w:t>tương đương</w:t>
      </w:r>
      <w:r w:rsidR="006D3319" w:rsidRPr="00741E32">
        <w:rPr>
          <w:iCs/>
          <w:sz w:val="28"/>
          <w:szCs w:val="28"/>
          <w:lang w:val="sv-SE"/>
        </w:rPr>
        <w:t xml:space="preserve"> với Nghị định </w:t>
      </w:r>
      <w:r w:rsidR="004B7736" w:rsidRPr="00741E32">
        <w:rPr>
          <w:iCs/>
          <w:sz w:val="28"/>
          <w:szCs w:val="28"/>
          <w:lang w:val="sv-SE"/>
        </w:rPr>
        <w:t xml:space="preserve">số </w:t>
      </w:r>
      <w:r w:rsidR="006D3319" w:rsidRPr="00741E32">
        <w:rPr>
          <w:iCs/>
          <w:sz w:val="28"/>
          <w:szCs w:val="28"/>
          <w:lang w:val="sv-SE"/>
        </w:rPr>
        <w:t>277/2025/NĐ-CP về hỗ trợ cơ sở giáo dục mầm non thực hiện phổ cập giáo dục mầm non cho trẻ em từ 3 đến 5 tuổi tại địa bàn có khu công nghiệp.</w:t>
      </w:r>
    </w:p>
    <w:p w14:paraId="23B1D1A8" w14:textId="387184A4" w:rsidR="006D3319" w:rsidRPr="00741E32" w:rsidRDefault="00162E90" w:rsidP="00A24779">
      <w:pPr>
        <w:spacing w:before="80"/>
        <w:ind w:firstLine="720"/>
        <w:jc w:val="both"/>
        <w:rPr>
          <w:sz w:val="28"/>
          <w:szCs w:val="28"/>
          <w:lang w:val="sv-SE"/>
        </w:rPr>
      </w:pPr>
      <w:r w:rsidRPr="00741E32">
        <w:rPr>
          <w:i/>
          <w:sz w:val="28"/>
          <w:szCs w:val="28"/>
          <w:lang w:val="sv-SE"/>
        </w:rPr>
        <w:t xml:space="preserve">- Tác động về kinh tế - xã hội: </w:t>
      </w:r>
      <w:r w:rsidR="006D3319" w:rsidRPr="00741E32">
        <w:rPr>
          <w:iCs/>
          <w:sz w:val="28"/>
          <w:szCs w:val="28"/>
          <w:lang w:val="sv-SE"/>
        </w:rPr>
        <w:t>Giải pháp thấp hơn 10,000 đồng so với mức hỗ trợ được quy định tại Nghị định 105/</w:t>
      </w:r>
      <w:r w:rsidR="00AB5FAE" w:rsidRPr="00741E32">
        <w:rPr>
          <w:iCs/>
          <w:sz w:val="28"/>
          <w:szCs w:val="28"/>
          <w:lang w:val="sv-SE"/>
        </w:rPr>
        <w:t>2020/</w:t>
      </w:r>
      <w:r w:rsidR="006D3319" w:rsidRPr="00741E32">
        <w:rPr>
          <w:iCs/>
          <w:sz w:val="28"/>
          <w:szCs w:val="28"/>
          <w:lang w:val="sv-SE"/>
        </w:rPr>
        <w:t>NĐ-CP và thấp hơn mức hỗ trợ tại Nghị quyết Nghị quyết số 32/2021/NQ-HĐND và Nghị quyết số 69/2021/NQ-HĐND. Vì vậy không ph</w:t>
      </w:r>
      <w:r w:rsidR="006D3319" w:rsidRPr="00741E32">
        <w:rPr>
          <w:rFonts w:eastAsia="Georgia"/>
          <w:sz w:val="28"/>
          <w:szCs w:val="28"/>
          <w:lang w:val="sv-SE"/>
        </w:rPr>
        <w:t>ù hợp với giá sinh hoạt hiện nay.</w:t>
      </w:r>
    </w:p>
    <w:p w14:paraId="6DBD75D3" w14:textId="0C63DD98" w:rsidR="006D3319" w:rsidRPr="00741E32" w:rsidRDefault="006D3319" w:rsidP="00A24779">
      <w:pPr>
        <w:spacing w:before="80"/>
        <w:ind w:firstLine="720"/>
        <w:jc w:val="both"/>
        <w:rPr>
          <w:i/>
          <w:iCs/>
          <w:sz w:val="28"/>
          <w:szCs w:val="28"/>
          <w:lang w:val="sv-SE"/>
        </w:rPr>
      </w:pPr>
      <w:r w:rsidRPr="00741E32">
        <w:rPr>
          <w:i/>
          <w:iCs/>
          <w:sz w:val="28"/>
          <w:szCs w:val="28"/>
          <w:lang w:val="sv-SE"/>
        </w:rPr>
        <w:t>b) Giải pháp 2: Hỗ trợ 200,000 đồng/trẻ/tháng (không quá 9 tháng/năm học).</w:t>
      </w:r>
    </w:p>
    <w:p w14:paraId="4E1A1C08" w14:textId="539C059E" w:rsidR="00162E90" w:rsidRPr="00741E32" w:rsidRDefault="00162E90" w:rsidP="00A24779">
      <w:pPr>
        <w:spacing w:before="80"/>
        <w:ind w:firstLine="720"/>
        <w:jc w:val="both"/>
        <w:rPr>
          <w:sz w:val="28"/>
          <w:szCs w:val="28"/>
          <w:lang w:val="sv-SE"/>
        </w:rPr>
      </w:pPr>
      <w:r w:rsidRPr="00741E32">
        <w:rPr>
          <w:i/>
          <w:sz w:val="28"/>
          <w:szCs w:val="28"/>
          <w:lang w:val="sv-SE"/>
        </w:rPr>
        <w:t>-  Tác động đối với hệ thống pháp luật</w:t>
      </w:r>
      <w:r w:rsidRPr="00741E32">
        <w:rPr>
          <w:iCs/>
          <w:sz w:val="28"/>
          <w:szCs w:val="28"/>
          <w:lang w:val="sv-SE"/>
        </w:rPr>
        <w:t xml:space="preserve">: </w:t>
      </w:r>
      <w:r w:rsidRPr="00741E32">
        <w:rPr>
          <w:rFonts w:eastAsia="Georgia"/>
          <w:iCs/>
          <w:sz w:val="28"/>
          <w:szCs w:val="28"/>
          <w:lang w:val="sv-SE"/>
        </w:rPr>
        <w:t>Phù hợp với xu hướng điều chỉnh</w:t>
      </w:r>
      <w:r w:rsidRPr="00741E32">
        <w:rPr>
          <w:rFonts w:eastAsia="Georgia"/>
          <w:sz w:val="28"/>
          <w:szCs w:val="28"/>
          <w:lang w:val="sv-SE"/>
        </w:rPr>
        <w:t xml:space="preserve"> tăng do lạm phát và mặt bằng giá sinh hoạt</w:t>
      </w:r>
      <w:r w:rsidR="00AD5861" w:rsidRPr="00741E32">
        <w:rPr>
          <w:rFonts w:eastAsia="Georgia"/>
          <w:sz w:val="28"/>
          <w:szCs w:val="28"/>
          <w:lang w:val="sv-SE"/>
        </w:rPr>
        <w:t xml:space="preserve"> hiện nay.</w:t>
      </w:r>
      <w:r w:rsidRPr="00741E32">
        <w:rPr>
          <w:rFonts w:eastAsia="Georgia"/>
          <w:sz w:val="28"/>
          <w:szCs w:val="28"/>
          <w:lang w:val="sv-SE"/>
        </w:rPr>
        <w:t xml:space="preserve"> </w:t>
      </w:r>
    </w:p>
    <w:p w14:paraId="5AB24A6D" w14:textId="449A426F" w:rsidR="00162E90" w:rsidRPr="00741E32" w:rsidRDefault="00162E90" w:rsidP="00A24779">
      <w:pPr>
        <w:spacing w:before="80"/>
        <w:ind w:firstLine="720"/>
        <w:jc w:val="both"/>
        <w:rPr>
          <w:sz w:val="28"/>
          <w:szCs w:val="28"/>
          <w:lang w:val="sv-SE"/>
        </w:rPr>
      </w:pPr>
      <w:r w:rsidRPr="00741E32">
        <w:rPr>
          <w:i/>
          <w:sz w:val="28"/>
          <w:szCs w:val="28"/>
          <w:lang w:val="sv-SE"/>
        </w:rPr>
        <w:t xml:space="preserve">- Tác động về kinh tế - xã hội: </w:t>
      </w:r>
      <w:r w:rsidRPr="00741E32">
        <w:rPr>
          <w:rFonts w:eastAsia="Georgia"/>
          <w:sz w:val="28"/>
          <w:szCs w:val="28"/>
          <w:lang w:val="sv-SE"/>
        </w:rPr>
        <w:t xml:space="preserve">Tăng gánh nặng </w:t>
      </w:r>
      <w:r w:rsidR="006D3319" w:rsidRPr="00741E32">
        <w:rPr>
          <w:rFonts w:eastAsia="Georgia"/>
          <w:sz w:val="28"/>
          <w:szCs w:val="28"/>
          <w:lang w:val="sv-SE"/>
        </w:rPr>
        <w:t xml:space="preserve">tăng </w:t>
      </w:r>
      <w:r w:rsidRPr="00741E32">
        <w:rPr>
          <w:rFonts w:eastAsia="Georgia"/>
          <w:sz w:val="28"/>
          <w:szCs w:val="28"/>
          <w:lang w:val="sv-SE"/>
        </w:rPr>
        <w:t>ngân sách địa phương trong điều kiện ngân sách tỉnh còn nhiều khó khăn. Ngân sách tỉnh có thể không cân đối được trong giai đoạn 2026-2030.</w:t>
      </w:r>
    </w:p>
    <w:p w14:paraId="4C672CC5" w14:textId="5D63C26F" w:rsidR="00A17DA8" w:rsidRPr="00741E32" w:rsidRDefault="006D3319" w:rsidP="00A24779">
      <w:pPr>
        <w:spacing w:before="80"/>
        <w:ind w:firstLine="720"/>
        <w:jc w:val="both"/>
        <w:rPr>
          <w:i/>
          <w:sz w:val="28"/>
          <w:szCs w:val="28"/>
          <w:lang w:val="sv-SE"/>
        </w:rPr>
      </w:pPr>
      <w:r w:rsidRPr="00741E32">
        <w:rPr>
          <w:i/>
          <w:sz w:val="28"/>
          <w:szCs w:val="28"/>
          <w:lang w:val="sv-SE"/>
        </w:rPr>
        <w:t>c</w:t>
      </w:r>
      <w:r w:rsidR="00A17DA8" w:rsidRPr="00741E32">
        <w:rPr>
          <w:i/>
          <w:sz w:val="28"/>
          <w:szCs w:val="28"/>
          <w:lang w:val="sv-SE"/>
        </w:rPr>
        <w:t xml:space="preserve">) </w:t>
      </w:r>
      <w:r w:rsidR="0086248C" w:rsidRPr="00741E32">
        <w:rPr>
          <w:i/>
          <w:sz w:val="28"/>
          <w:szCs w:val="28"/>
          <w:lang w:val="sv-SE"/>
        </w:rPr>
        <w:t xml:space="preserve">Giải pháp </w:t>
      </w:r>
      <w:r w:rsidR="00902195" w:rsidRPr="00741E32">
        <w:rPr>
          <w:i/>
          <w:sz w:val="28"/>
          <w:szCs w:val="28"/>
          <w:lang w:val="sv-SE"/>
        </w:rPr>
        <w:t>3</w:t>
      </w:r>
      <w:r w:rsidR="0086248C" w:rsidRPr="00741E32">
        <w:rPr>
          <w:i/>
          <w:sz w:val="28"/>
          <w:szCs w:val="28"/>
          <w:lang w:val="sv-SE"/>
        </w:rPr>
        <w:t>: Hỗ trợ 160.000 đồng/trẻ/tháng (không quá 9 tháng/năm học)</w:t>
      </w:r>
      <w:r w:rsidR="00F12800" w:rsidRPr="00741E32">
        <w:rPr>
          <w:i/>
          <w:sz w:val="28"/>
          <w:szCs w:val="28"/>
          <w:lang w:val="sv-SE"/>
        </w:rPr>
        <w:t>.</w:t>
      </w:r>
    </w:p>
    <w:p w14:paraId="2D2D4CDF" w14:textId="500DDBBF" w:rsidR="00923CB3" w:rsidRPr="00741E32" w:rsidRDefault="00923CB3" w:rsidP="00A24779">
      <w:pPr>
        <w:spacing w:before="80"/>
        <w:ind w:firstLine="720"/>
        <w:jc w:val="both"/>
        <w:rPr>
          <w:rFonts w:eastAsia="Georgia"/>
          <w:sz w:val="28"/>
          <w:szCs w:val="28"/>
          <w:lang w:val="sv-SE"/>
        </w:rPr>
      </w:pPr>
      <w:r w:rsidRPr="00741E32">
        <w:rPr>
          <w:i/>
          <w:iCs/>
          <w:sz w:val="28"/>
          <w:szCs w:val="28"/>
          <w:lang w:val="sv-SE"/>
        </w:rPr>
        <w:t>- Tác động đối với hệ thống pháp luật:</w:t>
      </w:r>
      <w:r w:rsidRPr="00741E32">
        <w:rPr>
          <w:sz w:val="28"/>
          <w:szCs w:val="28"/>
          <w:lang w:val="sv-SE"/>
        </w:rPr>
        <w:t xml:space="preserve"> Thực hiện</w:t>
      </w:r>
      <w:r w:rsidR="004464F0" w:rsidRPr="00741E32">
        <w:rPr>
          <w:sz w:val="28"/>
          <w:szCs w:val="28"/>
          <w:lang w:val="sv-SE"/>
        </w:rPr>
        <w:t xml:space="preserve"> </w:t>
      </w:r>
      <w:r w:rsidRPr="00741E32">
        <w:rPr>
          <w:sz w:val="28"/>
          <w:szCs w:val="28"/>
          <w:lang w:val="sv-SE"/>
        </w:rPr>
        <w:t xml:space="preserve">Nghị định 105/2020/NĐ-CP và </w:t>
      </w:r>
      <w:r w:rsidR="004464F0" w:rsidRPr="00741E32">
        <w:rPr>
          <w:sz w:val="28"/>
          <w:szCs w:val="28"/>
          <w:lang w:val="sv-SE"/>
        </w:rPr>
        <w:t xml:space="preserve">không trùng lặp với </w:t>
      </w:r>
      <w:r w:rsidRPr="00741E32">
        <w:rPr>
          <w:sz w:val="28"/>
          <w:szCs w:val="28"/>
          <w:lang w:val="sv-SE"/>
        </w:rPr>
        <w:t xml:space="preserve">Nghị định </w:t>
      </w:r>
      <w:r w:rsidR="004B7736" w:rsidRPr="00741E32">
        <w:rPr>
          <w:sz w:val="28"/>
          <w:szCs w:val="28"/>
          <w:lang w:val="sv-SE"/>
        </w:rPr>
        <w:t xml:space="preserve">số </w:t>
      </w:r>
      <w:r w:rsidRPr="00741E32">
        <w:rPr>
          <w:sz w:val="28"/>
          <w:szCs w:val="28"/>
          <w:lang w:val="sv-SE"/>
        </w:rPr>
        <w:t>277/2025/NĐ-CP</w:t>
      </w:r>
      <w:r w:rsidR="00AD5861" w:rsidRPr="00741E32">
        <w:rPr>
          <w:sz w:val="28"/>
          <w:szCs w:val="28"/>
          <w:lang w:val="sv-SE"/>
        </w:rPr>
        <w:t xml:space="preserve"> (</w:t>
      </w:r>
      <w:r w:rsidR="00AD5861" w:rsidRPr="00741E32">
        <w:rPr>
          <w:i/>
          <w:iCs/>
          <w:sz w:val="28"/>
          <w:szCs w:val="28"/>
          <w:lang w:val="de-DE"/>
        </w:rPr>
        <w:t>trẻ từ 3–5 tuổi đã được hỗ trợ tại Nghị định 277/2025/NĐ</w:t>
      </w:r>
      <w:r w:rsidR="00AD5861" w:rsidRPr="00741E32">
        <w:rPr>
          <w:i/>
          <w:iCs/>
          <w:sz w:val="28"/>
          <w:szCs w:val="28"/>
          <w:lang w:val="de-DE"/>
        </w:rPr>
        <w:noBreakHyphen/>
        <w:t>CP nên Nghị quyết mới chỉ hỗ trợ nhóm trẻ từ 06-36 tháng chưa có chính sách riêng)</w:t>
      </w:r>
      <w:r w:rsidR="00AD5861" w:rsidRPr="00741E32">
        <w:rPr>
          <w:sz w:val="28"/>
          <w:szCs w:val="28"/>
          <w:lang w:val="de-DE"/>
        </w:rPr>
        <w:t>.</w:t>
      </w:r>
      <w:r w:rsidR="00AD5861" w:rsidRPr="00741E32">
        <w:rPr>
          <w:sz w:val="28"/>
          <w:szCs w:val="28"/>
          <w:lang w:val="sv-SE"/>
        </w:rPr>
        <w:t xml:space="preserve"> </w:t>
      </w:r>
      <w:r w:rsidRPr="00741E32">
        <w:rPr>
          <w:sz w:val="28"/>
          <w:szCs w:val="28"/>
          <w:lang w:val="sv-SE"/>
        </w:rPr>
        <w:t>Thống nhất mức hỗ trợ</w:t>
      </w:r>
      <w:r w:rsidR="00AD5861" w:rsidRPr="00741E32">
        <w:rPr>
          <w:sz w:val="28"/>
          <w:szCs w:val="28"/>
          <w:lang w:val="sv-SE"/>
        </w:rPr>
        <w:t xml:space="preserve"> của </w:t>
      </w:r>
      <w:r w:rsidRPr="00741E32">
        <w:rPr>
          <w:rFonts w:eastAsia="Georgia"/>
          <w:sz w:val="28"/>
          <w:szCs w:val="28"/>
          <w:lang w:val="sv-SE"/>
        </w:rPr>
        <w:t>hai nghị quyết cũ (Nghị quyết 32/2021/NQ-HĐND và Nghị quyết 69/2021/NQ-HĐND) đều quy định mức hỗ trợ 160.000 đồng/trẻ/tháng, do đó không có bất cập về pháp lý</w:t>
      </w:r>
      <w:r w:rsidR="006D3319" w:rsidRPr="00741E32">
        <w:rPr>
          <w:rFonts w:eastAsia="Georgia"/>
          <w:sz w:val="28"/>
          <w:szCs w:val="28"/>
          <w:lang w:val="sv-SE"/>
        </w:rPr>
        <w:t>.</w:t>
      </w:r>
      <w:r w:rsidR="00AD5861" w:rsidRPr="00741E32">
        <w:rPr>
          <w:rFonts w:eastAsia="Georgia"/>
          <w:sz w:val="28"/>
          <w:szCs w:val="28"/>
          <w:lang w:val="sv-SE"/>
        </w:rPr>
        <w:t xml:space="preserve"> </w:t>
      </w:r>
      <w:r w:rsidR="00F43E51" w:rsidRPr="00741E32">
        <w:rPr>
          <w:rFonts w:eastAsia="Georgia"/>
          <w:sz w:val="28"/>
          <w:szCs w:val="28"/>
          <w:lang w:val="sv-SE"/>
        </w:rPr>
        <w:t>T</w:t>
      </w:r>
      <w:r w:rsidR="00F43E51" w:rsidRPr="00741E32">
        <w:rPr>
          <w:sz w:val="28"/>
          <w:szCs w:val="28"/>
          <w:lang w:val="sv-SE"/>
        </w:rPr>
        <w:t>ập trung hỗ trợ nhóm trẻ nhỏ có nhu cầu cao nhất, đồng thời bảo đảm thống nhất với hệ thống chính sách hiện hành.</w:t>
      </w:r>
    </w:p>
    <w:p w14:paraId="3DEACF8B" w14:textId="1731591E" w:rsidR="00923CB3" w:rsidRPr="00741E32" w:rsidRDefault="00923CB3" w:rsidP="00A24779">
      <w:pPr>
        <w:spacing w:before="80"/>
        <w:ind w:firstLine="720"/>
        <w:jc w:val="both"/>
        <w:rPr>
          <w:sz w:val="28"/>
          <w:szCs w:val="28"/>
          <w:lang w:val="sv-SE"/>
        </w:rPr>
      </w:pPr>
      <w:r w:rsidRPr="00741E32">
        <w:rPr>
          <w:i/>
          <w:iCs/>
          <w:sz w:val="28"/>
          <w:szCs w:val="28"/>
          <w:lang w:val="sv-SE"/>
        </w:rPr>
        <w:t xml:space="preserve">- Tác động </w:t>
      </w:r>
      <w:r w:rsidR="00971799" w:rsidRPr="00741E32">
        <w:rPr>
          <w:i/>
          <w:iCs/>
          <w:sz w:val="28"/>
          <w:szCs w:val="28"/>
          <w:lang w:val="sv-SE"/>
        </w:rPr>
        <w:t xml:space="preserve">về </w:t>
      </w:r>
      <w:r w:rsidRPr="00741E32">
        <w:rPr>
          <w:i/>
          <w:iCs/>
          <w:sz w:val="28"/>
          <w:szCs w:val="28"/>
          <w:lang w:val="sv-SE"/>
        </w:rPr>
        <w:t>kinh tế – xã hội:</w:t>
      </w:r>
      <w:r w:rsidRPr="00741E32">
        <w:rPr>
          <w:sz w:val="28"/>
          <w:szCs w:val="28"/>
          <w:lang w:val="sv-SE"/>
        </w:rPr>
        <w:t xml:space="preserve"> Giảm chi phí gửi trẻ cho hộ gia đình công nhân; tăng tỷ lệ duy trì lớp ở nhóm 06–36 tháng; ổn định lực lượng lao động trong KCN</w:t>
      </w:r>
      <w:r w:rsidR="00846D29" w:rsidRPr="00741E32">
        <w:rPr>
          <w:sz w:val="28"/>
          <w:szCs w:val="28"/>
          <w:lang w:val="sv-SE"/>
        </w:rPr>
        <w:t>, nơi có nhiều lao động</w:t>
      </w:r>
      <w:r w:rsidRPr="00741E32">
        <w:rPr>
          <w:sz w:val="28"/>
          <w:szCs w:val="28"/>
          <w:lang w:val="sv-SE"/>
        </w:rPr>
        <w:t xml:space="preserve">; góp phần giảm tỉ lệ trẻ bỏ học và rủi ro an toàn do trông giữ tự phát. </w:t>
      </w:r>
      <w:r w:rsidRPr="00741E32">
        <w:rPr>
          <w:rFonts w:eastAsia="Georgia"/>
          <w:sz w:val="28"/>
          <w:szCs w:val="28"/>
          <w:lang w:val="sv-SE"/>
        </w:rPr>
        <w:t>Góp phần hoàn thành phổ cập giáo dục mầm non</w:t>
      </w:r>
      <w:r w:rsidR="00902195" w:rsidRPr="00741E32">
        <w:rPr>
          <w:rFonts w:eastAsia="Georgia"/>
          <w:sz w:val="28"/>
          <w:szCs w:val="28"/>
          <w:lang w:val="sv-SE"/>
        </w:rPr>
        <w:t xml:space="preserve"> cho trẻ từ </w:t>
      </w:r>
      <w:r w:rsidRPr="00741E32">
        <w:rPr>
          <w:rFonts w:eastAsia="Georgia"/>
          <w:sz w:val="28"/>
          <w:szCs w:val="28"/>
          <w:lang w:val="sv-SE"/>
        </w:rPr>
        <w:t>3</w:t>
      </w:r>
      <w:r w:rsidR="00902195" w:rsidRPr="00741E32">
        <w:rPr>
          <w:rFonts w:eastAsia="Georgia"/>
          <w:sz w:val="28"/>
          <w:szCs w:val="28"/>
          <w:lang w:val="sv-SE"/>
        </w:rPr>
        <w:t xml:space="preserve"> đến </w:t>
      </w:r>
      <w:r w:rsidRPr="00741E32">
        <w:rPr>
          <w:rFonts w:eastAsia="Georgia"/>
          <w:sz w:val="28"/>
          <w:szCs w:val="28"/>
          <w:lang w:val="sv-SE"/>
        </w:rPr>
        <w:t xml:space="preserve">5 tuổi. </w:t>
      </w:r>
    </w:p>
    <w:p w14:paraId="7428DABD" w14:textId="6CF375B6" w:rsidR="00923CB3" w:rsidRPr="00741E32" w:rsidRDefault="00923CB3" w:rsidP="00A24779">
      <w:pPr>
        <w:spacing w:before="80"/>
        <w:ind w:firstLine="720"/>
        <w:jc w:val="both"/>
        <w:rPr>
          <w:sz w:val="28"/>
          <w:szCs w:val="28"/>
          <w:lang w:val="sv-SE"/>
        </w:rPr>
      </w:pPr>
      <w:r w:rsidRPr="00741E32">
        <w:rPr>
          <w:i/>
          <w:iCs/>
          <w:sz w:val="28"/>
          <w:szCs w:val="28"/>
          <w:lang w:val="sv-SE"/>
        </w:rPr>
        <w:t>- Tác động về giới:</w:t>
      </w:r>
      <w:r w:rsidRPr="00741E32">
        <w:rPr>
          <w:sz w:val="28"/>
          <w:szCs w:val="28"/>
          <w:lang w:val="sv-SE"/>
        </w:rPr>
        <w:t xml:space="preserve"> Giảm gánh nặng chăm sóc không lương cho phụ nữ; khuyến khích phân chia việc chăm con cân bằng hơn trong gia đình công nhân.</w:t>
      </w:r>
    </w:p>
    <w:p w14:paraId="0E955A44" w14:textId="77777777" w:rsidR="00AF155C" w:rsidRPr="00741E32" w:rsidRDefault="0086248C" w:rsidP="00A24779">
      <w:pPr>
        <w:spacing w:before="80"/>
        <w:ind w:firstLine="720"/>
        <w:rPr>
          <w:sz w:val="28"/>
          <w:szCs w:val="28"/>
          <w:lang w:val="sv-SE"/>
        </w:rPr>
      </w:pPr>
      <w:bookmarkStart w:id="10" w:name="bm_2_2_giải_pháp_tối_ưu_được_lựa_5255c7"/>
      <w:r w:rsidRPr="00741E32">
        <w:rPr>
          <w:rFonts w:eastAsia="Georgia"/>
          <w:b/>
          <w:sz w:val="28"/>
          <w:szCs w:val="28"/>
          <w:lang w:val="sv-SE"/>
        </w:rPr>
        <w:t>2.2. Giải pháp tối ưu được lựa chọn và lý do lựa chọn</w:t>
      </w:r>
      <w:bookmarkEnd w:id="10"/>
    </w:p>
    <w:p w14:paraId="12B48ACB" w14:textId="43DF4C72" w:rsidR="00AF155C" w:rsidRPr="00741E32" w:rsidRDefault="00B95F37" w:rsidP="00A24779">
      <w:pPr>
        <w:spacing w:before="80"/>
        <w:ind w:firstLine="720"/>
        <w:jc w:val="both"/>
        <w:rPr>
          <w:i/>
          <w:sz w:val="28"/>
          <w:szCs w:val="28"/>
          <w:lang w:val="sv-SE"/>
        </w:rPr>
      </w:pPr>
      <w:r w:rsidRPr="00741E32">
        <w:rPr>
          <w:i/>
          <w:sz w:val="28"/>
          <w:szCs w:val="28"/>
          <w:lang w:val="sv-SE"/>
        </w:rPr>
        <w:t>a)</w:t>
      </w:r>
      <w:r w:rsidR="00AF155C" w:rsidRPr="00741E32">
        <w:rPr>
          <w:i/>
          <w:sz w:val="28"/>
          <w:szCs w:val="28"/>
          <w:lang w:val="sv-SE"/>
        </w:rPr>
        <w:t xml:space="preserve"> </w:t>
      </w:r>
      <w:r w:rsidR="0086248C" w:rsidRPr="00741E32">
        <w:rPr>
          <w:i/>
          <w:sz w:val="28"/>
          <w:szCs w:val="28"/>
          <w:lang w:val="sv-SE"/>
        </w:rPr>
        <w:t>Giải pháp được lựa chọn:</w:t>
      </w:r>
      <w:r w:rsidR="0086248C" w:rsidRPr="00741E32">
        <w:rPr>
          <w:rFonts w:eastAsia="Georgia"/>
          <w:i/>
          <w:sz w:val="28"/>
          <w:szCs w:val="28"/>
          <w:lang w:val="sv-SE"/>
        </w:rPr>
        <w:t xml:space="preserve"> Giải pháp </w:t>
      </w:r>
      <w:r w:rsidR="006D3319" w:rsidRPr="00741E32">
        <w:rPr>
          <w:rFonts w:eastAsia="Georgia"/>
          <w:i/>
          <w:sz w:val="28"/>
          <w:szCs w:val="28"/>
          <w:lang w:val="sv-SE"/>
        </w:rPr>
        <w:t>3</w:t>
      </w:r>
      <w:r w:rsidR="00AA2EAB" w:rsidRPr="00741E32">
        <w:rPr>
          <w:rFonts w:eastAsia="Georgia"/>
          <w:i/>
          <w:sz w:val="28"/>
          <w:szCs w:val="28"/>
          <w:lang w:val="sv-SE"/>
        </w:rPr>
        <w:t>:</w:t>
      </w:r>
      <w:r w:rsidR="0086248C" w:rsidRPr="00741E32">
        <w:rPr>
          <w:rFonts w:eastAsia="Georgia"/>
          <w:i/>
          <w:sz w:val="28"/>
          <w:szCs w:val="28"/>
          <w:lang w:val="sv-SE"/>
        </w:rPr>
        <w:t xml:space="preserve"> Hỗ trợ 160.000 đồng/trẻ/tháng (không quá 9 tháng/năm học)</w:t>
      </w:r>
      <w:r w:rsidRPr="00741E32">
        <w:rPr>
          <w:rFonts w:eastAsia="Georgia"/>
          <w:i/>
          <w:sz w:val="28"/>
          <w:szCs w:val="28"/>
          <w:lang w:val="sv-SE"/>
        </w:rPr>
        <w:t>.</w:t>
      </w:r>
    </w:p>
    <w:p w14:paraId="333D480B" w14:textId="77777777" w:rsidR="00AF155C" w:rsidRPr="00741E32" w:rsidRDefault="00B95F37" w:rsidP="00A24779">
      <w:pPr>
        <w:spacing w:before="80"/>
        <w:ind w:firstLine="720"/>
        <w:jc w:val="both"/>
        <w:rPr>
          <w:i/>
          <w:sz w:val="28"/>
          <w:szCs w:val="28"/>
          <w:lang w:val="sv-SE"/>
        </w:rPr>
      </w:pPr>
      <w:r w:rsidRPr="00741E32">
        <w:rPr>
          <w:i/>
          <w:sz w:val="28"/>
          <w:szCs w:val="28"/>
          <w:lang w:val="sv-SE"/>
        </w:rPr>
        <w:t>b) Lý do lựa chọn</w:t>
      </w:r>
    </w:p>
    <w:p w14:paraId="6DC3B67B" w14:textId="77777777" w:rsidR="00F43E51" w:rsidRPr="00741E32" w:rsidRDefault="00B27829" w:rsidP="00F43E51">
      <w:pPr>
        <w:spacing w:before="80"/>
        <w:ind w:firstLine="720"/>
        <w:jc w:val="both"/>
        <w:rPr>
          <w:rFonts w:eastAsia="Georgia"/>
          <w:sz w:val="28"/>
          <w:szCs w:val="28"/>
          <w:lang w:val="sv-SE"/>
        </w:rPr>
      </w:pPr>
      <w:r w:rsidRPr="00741E32">
        <w:rPr>
          <w:sz w:val="28"/>
          <w:szCs w:val="28"/>
          <w:lang w:val="sv-SE"/>
        </w:rPr>
        <w:t>- Thống nhất mức hỗ trợ:</w:t>
      </w:r>
      <w:r w:rsidRPr="00741E32">
        <w:rPr>
          <w:rFonts w:eastAsia="Georgia"/>
          <w:sz w:val="28"/>
          <w:szCs w:val="28"/>
          <w:lang w:val="sv-SE"/>
        </w:rPr>
        <w:t xml:space="preserve"> Cả hai nghị quyết cũ (Nghị quyết 32/2021/NQ-HĐND và Nghị quyết 69/2021/NQ-HĐND) đều quy định mức hỗ trợ 160.000 đồng/trẻ/tháng, do đó không có bất cập về pháp lý khi hợp nhất.</w:t>
      </w:r>
      <w:r w:rsidR="006D3319" w:rsidRPr="00741E32">
        <w:rPr>
          <w:rFonts w:eastAsia="Georgia"/>
          <w:sz w:val="28"/>
          <w:szCs w:val="28"/>
          <w:lang w:val="sv-SE"/>
        </w:rPr>
        <w:t xml:space="preserve"> </w:t>
      </w:r>
    </w:p>
    <w:p w14:paraId="1325ECA6" w14:textId="5D3F28EC" w:rsidR="00F43E51" w:rsidRPr="00741E32" w:rsidRDefault="00F43E51" w:rsidP="00F43E51">
      <w:pPr>
        <w:spacing w:before="80"/>
        <w:ind w:firstLine="720"/>
        <w:jc w:val="both"/>
        <w:rPr>
          <w:sz w:val="28"/>
          <w:szCs w:val="28"/>
          <w:lang w:val="sv-SE"/>
        </w:rPr>
      </w:pPr>
      <w:r w:rsidRPr="00741E32">
        <w:rPr>
          <w:rFonts w:eastAsia="Georgia"/>
          <w:sz w:val="28"/>
          <w:szCs w:val="28"/>
          <w:lang w:val="sv-SE"/>
        </w:rPr>
        <w:t xml:space="preserve">- </w:t>
      </w:r>
      <w:r w:rsidR="00B27829" w:rsidRPr="00741E32">
        <w:rPr>
          <w:sz w:val="28"/>
          <w:szCs w:val="28"/>
          <w:lang w:val="sv-SE"/>
        </w:rPr>
        <w:t>Phù hợp với quy định cấp trên:</w:t>
      </w:r>
      <w:r w:rsidR="00B27829" w:rsidRPr="00741E32">
        <w:rPr>
          <w:rFonts w:eastAsia="Georgia"/>
          <w:sz w:val="28"/>
          <w:szCs w:val="28"/>
          <w:lang w:val="sv-SE"/>
        </w:rPr>
        <w:t xml:space="preserve"> </w:t>
      </w:r>
      <w:r w:rsidRPr="00741E32">
        <w:rPr>
          <w:sz w:val="28"/>
          <w:szCs w:val="28"/>
          <w:lang w:val="sv-SE"/>
        </w:rPr>
        <w:t xml:space="preserve">Mức hỗ trợ bằng mức quy định của Nghị định 105/2020/NĐ-CP nhưng thu hẹp phạm vi độ tuổi, chỉ từ 06–36 tháng </w:t>
      </w:r>
      <w:r w:rsidR="00FB26B1" w:rsidRPr="00741E32">
        <w:rPr>
          <w:sz w:val="28"/>
          <w:szCs w:val="28"/>
          <w:lang w:val="sv-SE"/>
        </w:rPr>
        <w:t>(</w:t>
      </w:r>
      <w:r w:rsidRPr="00741E32">
        <w:rPr>
          <w:i/>
          <w:iCs/>
          <w:sz w:val="28"/>
          <w:szCs w:val="28"/>
          <w:lang w:val="sv-SE"/>
        </w:rPr>
        <w:t>thay vì toàn bộ trẻ mầm non như trước</w:t>
      </w:r>
      <w:r w:rsidR="00FB26B1" w:rsidRPr="00741E32">
        <w:rPr>
          <w:sz w:val="28"/>
          <w:szCs w:val="28"/>
          <w:lang w:val="sv-SE"/>
        </w:rPr>
        <w:t>);</w:t>
      </w:r>
      <w:r w:rsidRPr="00741E32">
        <w:rPr>
          <w:sz w:val="28"/>
          <w:szCs w:val="28"/>
          <w:lang w:val="sv-SE"/>
        </w:rPr>
        <w:t xml:space="preserve"> </w:t>
      </w:r>
      <w:r w:rsidR="00FB26B1" w:rsidRPr="00741E32">
        <w:rPr>
          <w:sz w:val="28"/>
          <w:szCs w:val="28"/>
          <w:lang w:val="sv-SE"/>
        </w:rPr>
        <w:t>không trùng lặp với Nghị định số 277/2025/NĐ-CP (</w:t>
      </w:r>
      <w:r w:rsidR="00FB26B1" w:rsidRPr="00741E32">
        <w:rPr>
          <w:i/>
          <w:iCs/>
          <w:sz w:val="28"/>
          <w:szCs w:val="28"/>
          <w:lang w:val="de-DE"/>
        </w:rPr>
        <w:t>trẻ từ 3–5 tuổi đã được hỗ trợ tại Nghị định 277/2025/NĐ</w:t>
      </w:r>
      <w:r w:rsidR="00FB26B1" w:rsidRPr="00741E32">
        <w:rPr>
          <w:i/>
          <w:iCs/>
          <w:sz w:val="28"/>
          <w:szCs w:val="28"/>
          <w:lang w:val="de-DE"/>
        </w:rPr>
        <w:noBreakHyphen/>
        <w:t>CP)</w:t>
      </w:r>
      <w:r w:rsidR="00FB26B1" w:rsidRPr="00741E32">
        <w:rPr>
          <w:sz w:val="28"/>
          <w:szCs w:val="28"/>
          <w:lang w:val="de-DE"/>
        </w:rPr>
        <w:t>.</w:t>
      </w:r>
      <w:r w:rsidR="00FB26B1" w:rsidRPr="00741E32">
        <w:rPr>
          <w:sz w:val="28"/>
          <w:szCs w:val="28"/>
          <w:lang w:val="sv-SE"/>
        </w:rPr>
        <w:t xml:space="preserve"> </w:t>
      </w:r>
      <w:r w:rsidRPr="00741E32">
        <w:rPr>
          <w:sz w:val="28"/>
          <w:szCs w:val="28"/>
          <w:lang w:val="sv-SE"/>
        </w:rPr>
        <w:t xml:space="preserve">Nghị quyết mới </w:t>
      </w:r>
      <w:r w:rsidR="00FB26B1" w:rsidRPr="00741E32">
        <w:rPr>
          <w:sz w:val="28"/>
          <w:szCs w:val="28"/>
          <w:lang w:val="sv-SE"/>
        </w:rPr>
        <w:t xml:space="preserve">tập trung hỗ trợ nhóm trẻ nhỏ 06-36 tháng có nhu cầu cao nhất, </w:t>
      </w:r>
      <w:r w:rsidR="00FB26B1" w:rsidRPr="00741E32">
        <w:rPr>
          <w:sz w:val="28"/>
          <w:szCs w:val="28"/>
          <w:lang w:val="de-DE"/>
        </w:rPr>
        <w:t xml:space="preserve">chưa có chính sách riêng, </w:t>
      </w:r>
      <w:r w:rsidR="00FB26B1" w:rsidRPr="00741E32">
        <w:rPr>
          <w:sz w:val="28"/>
          <w:szCs w:val="28"/>
          <w:lang w:val="sv-SE"/>
        </w:rPr>
        <w:t>đồng thời bảo đảm thống nhất với hệ thống chính sách hiện hành.</w:t>
      </w:r>
    </w:p>
    <w:p w14:paraId="11610BD1" w14:textId="5B11DEAB" w:rsidR="00AF155C" w:rsidRPr="00741E32" w:rsidRDefault="00B27829" w:rsidP="00A24779">
      <w:pPr>
        <w:spacing w:before="80"/>
        <w:ind w:firstLine="720"/>
        <w:jc w:val="both"/>
        <w:rPr>
          <w:sz w:val="28"/>
          <w:szCs w:val="28"/>
          <w:lang w:val="sv-SE"/>
        </w:rPr>
      </w:pPr>
      <w:r w:rsidRPr="00741E32">
        <w:rPr>
          <w:rFonts w:eastAsia="Georgia"/>
          <w:sz w:val="28"/>
          <w:szCs w:val="28"/>
          <w:lang w:val="sv-SE"/>
        </w:rPr>
        <w:lastRenderedPageBreak/>
        <w:t xml:space="preserve"> </w:t>
      </w:r>
      <w:r w:rsidR="00B95F37" w:rsidRPr="00741E32">
        <w:rPr>
          <w:sz w:val="28"/>
          <w:szCs w:val="28"/>
          <w:lang w:val="sv-SE"/>
        </w:rPr>
        <w:t xml:space="preserve">- </w:t>
      </w:r>
      <w:r w:rsidR="0086248C" w:rsidRPr="00741E32">
        <w:rPr>
          <w:sz w:val="28"/>
          <w:szCs w:val="28"/>
          <w:lang w:val="sv-SE"/>
        </w:rPr>
        <w:t>Tác động tích cực đã được chứng minh:</w:t>
      </w:r>
      <w:r w:rsidR="0086248C" w:rsidRPr="00741E32">
        <w:rPr>
          <w:rFonts w:eastAsia="Georgia"/>
          <w:sz w:val="28"/>
          <w:szCs w:val="28"/>
          <w:lang w:val="sv-SE"/>
        </w:rPr>
        <w:t xml:space="preserve"> Sau 5 năm thực hiện (2021-2026), chính sách đã có tác động tích cực lớn: giảm gánh nặng tài chính cho gia đình công nhân, tăng tỷ lệ trẻ đến trường, cải thiện dinh dưỡng, tăng năng suất lao động.</w:t>
      </w:r>
      <w:r w:rsidR="007372A7" w:rsidRPr="00741E32">
        <w:rPr>
          <w:rFonts w:eastAsia="Georgia"/>
          <w:sz w:val="28"/>
          <w:szCs w:val="28"/>
          <w:lang w:val="sv-SE"/>
        </w:rPr>
        <w:t xml:space="preserve"> Vì vậy</w:t>
      </w:r>
      <w:r w:rsidR="00FB26B1" w:rsidRPr="00741E32">
        <w:rPr>
          <w:rFonts w:eastAsia="Georgia"/>
          <w:sz w:val="28"/>
          <w:szCs w:val="28"/>
          <w:lang w:val="sv-SE"/>
        </w:rPr>
        <w:t>,</w:t>
      </w:r>
      <w:r w:rsidR="007372A7" w:rsidRPr="00741E32">
        <w:rPr>
          <w:rFonts w:eastAsia="Georgia"/>
          <w:sz w:val="28"/>
          <w:szCs w:val="28"/>
          <w:lang w:val="sv-SE"/>
        </w:rPr>
        <w:t xml:space="preserve"> ư</w:t>
      </w:r>
      <w:r w:rsidR="0086248C" w:rsidRPr="00741E32">
        <w:rPr>
          <w:sz w:val="28"/>
          <w:szCs w:val="28"/>
          <w:lang w:val="sv-SE"/>
        </w:rPr>
        <w:t xml:space="preserve">u tiên </w:t>
      </w:r>
      <w:r w:rsidR="00697331" w:rsidRPr="00741E32">
        <w:rPr>
          <w:sz w:val="28"/>
          <w:szCs w:val="28"/>
          <w:lang w:val="sv-SE"/>
        </w:rPr>
        <w:t>g</w:t>
      </w:r>
      <w:r w:rsidR="0086248C" w:rsidRPr="00741E32">
        <w:rPr>
          <w:rFonts w:eastAsia="Georgia"/>
          <w:sz w:val="28"/>
          <w:szCs w:val="28"/>
          <w:lang w:val="sv-SE"/>
        </w:rPr>
        <w:t>iữ nguyên mức hỗ trợ hiện hành đảm bảo sự ổn định.</w:t>
      </w:r>
      <w:bookmarkStart w:id="11" w:name="bm_3_chính_sách_3_hỗ_trợ_giáo_viê_3d2929"/>
    </w:p>
    <w:p w14:paraId="09B48CFC" w14:textId="0A3B3377" w:rsidR="00567331" w:rsidRPr="00741E32" w:rsidRDefault="00DE7864" w:rsidP="00567331">
      <w:pPr>
        <w:spacing w:before="80"/>
        <w:ind w:firstLine="720"/>
        <w:jc w:val="both"/>
        <w:rPr>
          <w:b/>
          <w:bCs/>
          <w:sz w:val="28"/>
          <w:szCs w:val="28"/>
          <w:lang w:val="sv-SE"/>
        </w:rPr>
      </w:pPr>
      <w:r w:rsidRPr="00741E32">
        <w:rPr>
          <w:b/>
          <w:bCs/>
          <w:sz w:val="28"/>
          <w:szCs w:val="28"/>
          <w:lang w:val="sv-SE"/>
        </w:rPr>
        <w:t>3.</w:t>
      </w:r>
      <w:r w:rsidRPr="00741E32">
        <w:rPr>
          <w:rFonts w:eastAsia="Georgia"/>
          <w:b/>
          <w:bCs/>
          <w:sz w:val="28"/>
          <w:szCs w:val="28"/>
          <w:lang w:val="sv-SE"/>
        </w:rPr>
        <w:t xml:space="preserve"> Chính sách 3: </w:t>
      </w:r>
      <w:r w:rsidR="009F2C8F" w:rsidRPr="00741E32">
        <w:rPr>
          <w:rFonts w:eastAsia="Georgia"/>
          <w:b/>
          <w:bCs/>
          <w:sz w:val="28"/>
          <w:szCs w:val="28"/>
          <w:lang w:val="sv-SE"/>
        </w:rPr>
        <w:t>Hỗ trợ g</w:t>
      </w:r>
      <w:r w:rsidR="006F5941" w:rsidRPr="00741E32">
        <w:rPr>
          <w:b/>
          <w:bCs/>
          <w:sz w:val="28"/>
          <w:szCs w:val="28"/>
          <w:lang w:val="vi-VN"/>
        </w:rPr>
        <w:t xml:space="preserve">iáo viên </w:t>
      </w:r>
      <w:r w:rsidR="006F5941" w:rsidRPr="00741E32">
        <w:rPr>
          <w:b/>
          <w:bCs/>
          <w:sz w:val="28"/>
          <w:szCs w:val="28"/>
          <w:lang w:val="nl-NL"/>
        </w:rPr>
        <w:t xml:space="preserve">mầm non </w:t>
      </w:r>
      <w:r w:rsidR="006F5941" w:rsidRPr="00741E32">
        <w:rPr>
          <w:b/>
          <w:bCs/>
          <w:spacing w:val="3"/>
          <w:sz w:val="28"/>
          <w:szCs w:val="28"/>
          <w:shd w:val="clear" w:color="auto" w:fill="FFFFFF"/>
          <w:lang w:val="fi-FI"/>
        </w:rPr>
        <w:t xml:space="preserve">đang làm việc tại cơ sở giáo dục mầm non </w:t>
      </w:r>
      <w:r w:rsidR="00F07675" w:rsidRPr="00741E32">
        <w:rPr>
          <w:b/>
          <w:bCs/>
          <w:spacing w:val="3"/>
          <w:sz w:val="28"/>
          <w:szCs w:val="28"/>
          <w:shd w:val="clear" w:color="auto" w:fill="FFFFFF"/>
          <w:lang w:val="fi-FI"/>
        </w:rPr>
        <w:t xml:space="preserve">ngoài công lập </w:t>
      </w:r>
      <w:r w:rsidR="006F5941" w:rsidRPr="00741E32">
        <w:rPr>
          <w:b/>
          <w:bCs/>
          <w:spacing w:val="3"/>
          <w:sz w:val="28"/>
          <w:szCs w:val="28"/>
          <w:shd w:val="clear" w:color="auto" w:fill="FFFFFF"/>
          <w:lang w:val="fi-FI"/>
        </w:rPr>
        <w:t>đã được cơ quan có thẩm quyền cấp phép thành lập và hoạt động theo quy định ở địa bàn có khu công nghiệp</w:t>
      </w:r>
      <w:r w:rsidR="00567331" w:rsidRPr="00741E32">
        <w:rPr>
          <w:b/>
          <w:bCs/>
          <w:spacing w:val="3"/>
          <w:sz w:val="28"/>
          <w:szCs w:val="28"/>
          <w:shd w:val="clear" w:color="auto" w:fill="FFFFFF"/>
          <w:lang w:val="fi-FI"/>
        </w:rPr>
        <w:t xml:space="preserve"> bảo đảm những điều kiện sau: có trình độ chuẩn đào tạo chức danh giáo viên mầm non theo quy định; có hợp đồng lao động với người đại diện theo pháp luật của cơ sở giáo dục mầm non dân lập, tư thục; trực tiếp chăm sóc, giáo dục tại nhóm trẻ/lớp mẫu giáo có từ 30% trẻ em là con công nhân, người lao động làm việc tại khu công nghiệp</w:t>
      </w:r>
    </w:p>
    <w:p w14:paraId="61299615" w14:textId="77777777" w:rsidR="00AF155C" w:rsidRPr="00741E32" w:rsidRDefault="0086248C" w:rsidP="00A24779">
      <w:pPr>
        <w:spacing w:before="80"/>
        <w:ind w:firstLine="720"/>
        <w:rPr>
          <w:sz w:val="28"/>
          <w:szCs w:val="28"/>
          <w:lang w:val="sv-SE"/>
        </w:rPr>
      </w:pPr>
      <w:bookmarkStart w:id="12" w:name="bm_3_1_đánh_giá_tác_động"/>
      <w:bookmarkEnd w:id="11"/>
      <w:r w:rsidRPr="00741E32">
        <w:rPr>
          <w:rFonts w:eastAsia="Georgia"/>
          <w:b/>
          <w:sz w:val="28"/>
          <w:szCs w:val="28"/>
          <w:lang w:val="sv-SE"/>
        </w:rPr>
        <w:t>3.1. Đánh giá tác động</w:t>
      </w:r>
      <w:bookmarkEnd w:id="12"/>
    </w:p>
    <w:p w14:paraId="617C934C" w14:textId="7A33295C" w:rsidR="00E04615" w:rsidRPr="00741E32" w:rsidRDefault="00AF155C" w:rsidP="00A24779">
      <w:pPr>
        <w:spacing w:before="80"/>
        <w:ind w:firstLine="720"/>
        <w:jc w:val="both"/>
        <w:rPr>
          <w:i/>
          <w:sz w:val="28"/>
          <w:szCs w:val="28"/>
          <w:lang w:val="sv-SE"/>
        </w:rPr>
      </w:pPr>
      <w:r w:rsidRPr="00741E32">
        <w:rPr>
          <w:i/>
          <w:sz w:val="28"/>
          <w:szCs w:val="28"/>
          <w:lang w:val="sv-SE"/>
        </w:rPr>
        <w:t xml:space="preserve">a) </w:t>
      </w:r>
      <w:r w:rsidR="00E04615" w:rsidRPr="00741E32">
        <w:rPr>
          <w:i/>
          <w:sz w:val="28"/>
          <w:szCs w:val="28"/>
          <w:lang w:val="sv-SE"/>
        </w:rPr>
        <w:t>Giải pháp 1: Hỗ trợ 800,000 đồng/giáo viên/tháng (không quá 9 tháng/năm học), trường hợp dạy dưới 15 ngày tính 0,5 tháng, từ 15 ngày trở lên tính 1 tháng.</w:t>
      </w:r>
    </w:p>
    <w:p w14:paraId="3DA32295" w14:textId="781E9663" w:rsidR="00C168CA" w:rsidRPr="00741E32" w:rsidRDefault="00C168CA" w:rsidP="00A24779">
      <w:pPr>
        <w:spacing w:before="80"/>
        <w:ind w:firstLine="720"/>
        <w:jc w:val="both"/>
        <w:rPr>
          <w:sz w:val="28"/>
          <w:szCs w:val="28"/>
          <w:lang w:val="sv-SE"/>
        </w:rPr>
      </w:pPr>
      <w:r w:rsidRPr="00741E32">
        <w:rPr>
          <w:i/>
          <w:iCs/>
          <w:sz w:val="28"/>
          <w:szCs w:val="28"/>
          <w:lang w:val="sv-SE"/>
        </w:rPr>
        <w:t>- Tác động đối với hệ thống pháp luật:</w:t>
      </w:r>
      <w:r w:rsidRPr="00741E32">
        <w:rPr>
          <w:b/>
          <w:bCs/>
          <w:sz w:val="28"/>
          <w:szCs w:val="28"/>
          <w:lang w:val="sv-SE"/>
        </w:rPr>
        <w:t xml:space="preserve"> </w:t>
      </w:r>
      <w:r w:rsidRPr="00741E32">
        <w:rPr>
          <w:sz w:val="28"/>
          <w:szCs w:val="28"/>
          <w:lang w:val="sv-SE"/>
        </w:rPr>
        <w:t xml:space="preserve">Phù hợp mức tối thiểu theo Nghị định 105/2020/NĐ-CP. Tuy nhiên, thấp hơn mức đang áp dụng tại Nghị định </w:t>
      </w:r>
      <w:r w:rsidR="004B7736" w:rsidRPr="00741E32">
        <w:rPr>
          <w:sz w:val="28"/>
          <w:szCs w:val="28"/>
          <w:lang w:val="sv-SE"/>
        </w:rPr>
        <w:t xml:space="preserve">số </w:t>
      </w:r>
      <w:r w:rsidRPr="00741E32">
        <w:rPr>
          <w:sz w:val="28"/>
          <w:szCs w:val="28"/>
          <w:lang w:val="sv-SE"/>
        </w:rPr>
        <w:t>277/NĐ-CP</w:t>
      </w:r>
      <w:r w:rsidR="001518C9" w:rsidRPr="00741E32">
        <w:rPr>
          <w:sz w:val="28"/>
          <w:szCs w:val="28"/>
          <w:lang w:val="sv-SE"/>
        </w:rPr>
        <w:t>. V</w:t>
      </w:r>
      <w:r w:rsidR="00711B2D" w:rsidRPr="00741E32">
        <w:rPr>
          <w:sz w:val="28"/>
          <w:szCs w:val="28"/>
          <w:lang w:val="sv-SE"/>
        </w:rPr>
        <w:t>ì vậy</w:t>
      </w:r>
      <w:r w:rsidR="001518C9" w:rsidRPr="00741E32">
        <w:rPr>
          <w:sz w:val="28"/>
          <w:szCs w:val="28"/>
          <w:lang w:val="sv-SE"/>
        </w:rPr>
        <w:t>,</w:t>
      </w:r>
      <w:r w:rsidRPr="00741E32">
        <w:rPr>
          <w:sz w:val="28"/>
          <w:szCs w:val="28"/>
          <w:lang w:val="sv-SE"/>
        </w:rPr>
        <w:t xml:space="preserve"> không bảo đảm sự </w:t>
      </w:r>
      <w:r w:rsidR="00A45B15" w:rsidRPr="00741E32">
        <w:rPr>
          <w:sz w:val="28"/>
          <w:szCs w:val="28"/>
          <w:lang w:val="sv-SE"/>
        </w:rPr>
        <w:t>công bằng</w:t>
      </w:r>
      <w:r w:rsidRPr="00741E32">
        <w:rPr>
          <w:sz w:val="28"/>
          <w:szCs w:val="28"/>
          <w:lang w:val="sv-SE"/>
        </w:rPr>
        <w:t xml:space="preserve"> đối với giáo viên </w:t>
      </w:r>
      <w:r w:rsidR="00711B2D" w:rsidRPr="00741E32">
        <w:rPr>
          <w:sz w:val="28"/>
          <w:szCs w:val="28"/>
          <w:lang w:val="sv-SE"/>
        </w:rPr>
        <w:t xml:space="preserve">giáo viên chăm sóc trẻ từ 06 đến 36 tháng tuổi và giáo viên </w:t>
      </w:r>
      <w:r w:rsidRPr="00741E32">
        <w:rPr>
          <w:sz w:val="28"/>
          <w:szCs w:val="28"/>
          <w:lang w:val="sv-SE"/>
        </w:rPr>
        <w:t>thực hiện phổ cập cho trẻ 3 đến 5 tuổi</w:t>
      </w:r>
      <w:r w:rsidR="00711B2D" w:rsidRPr="00741E32">
        <w:rPr>
          <w:sz w:val="28"/>
          <w:szCs w:val="28"/>
          <w:lang w:val="sv-SE"/>
        </w:rPr>
        <w:t xml:space="preserve"> </w:t>
      </w:r>
      <w:r w:rsidR="00711B2D" w:rsidRPr="00741E32">
        <w:rPr>
          <w:i/>
          <w:iCs/>
          <w:sz w:val="28"/>
          <w:szCs w:val="28"/>
          <w:lang w:val="vi-VN"/>
        </w:rPr>
        <w:t>(được hưởng mức 960.000đ/tháng)</w:t>
      </w:r>
      <w:r w:rsidRPr="00741E32">
        <w:rPr>
          <w:sz w:val="28"/>
          <w:szCs w:val="28"/>
          <w:lang w:val="sv-SE"/>
        </w:rPr>
        <w:t xml:space="preserve"> trong cùng một sơ sở giáo dục.</w:t>
      </w:r>
    </w:p>
    <w:p w14:paraId="29F77CAD" w14:textId="372D994F" w:rsidR="00A45B15" w:rsidRPr="00741E32" w:rsidRDefault="00C168CA" w:rsidP="00A24779">
      <w:pPr>
        <w:spacing w:before="80"/>
        <w:ind w:firstLine="720"/>
        <w:jc w:val="both"/>
        <w:rPr>
          <w:i/>
          <w:iCs/>
          <w:sz w:val="28"/>
          <w:szCs w:val="28"/>
          <w:lang w:val="vi-VN"/>
        </w:rPr>
      </w:pPr>
      <w:r w:rsidRPr="00741E32">
        <w:rPr>
          <w:i/>
          <w:iCs/>
          <w:sz w:val="28"/>
          <w:szCs w:val="28"/>
          <w:lang w:val="sv-SE"/>
        </w:rPr>
        <w:t>- Tác động kinh tế – xã hội:</w:t>
      </w:r>
      <w:r w:rsidRPr="00741E32">
        <w:rPr>
          <w:b/>
          <w:bCs/>
          <w:sz w:val="28"/>
          <w:szCs w:val="28"/>
          <w:lang w:val="sv-SE"/>
        </w:rPr>
        <w:t xml:space="preserve"> </w:t>
      </w:r>
      <w:r w:rsidR="00A45B15" w:rsidRPr="00741E32">
        <w:rPr>
          <w:sz w:val="28"/>
          <w:szCs w:val="28"/>
          <w:lang w:val="vi-VN"/>
        </w:rPr>
        <w:t>Không tăng áp lực về ngân sách của tỉnh. Nhưng không tăng thu nhập, khó giữ chân giáo viên</w:t>
      </w:r>
      <w:r w:rsidR="00711B2D" w:rsidRPr="00741E32">
        <w:rPr>
          <w:sz w:val="28"/>
          <w:szCs w:val="28"/>
          <w:lang w:val="vi-VN"/>
        </w:rPr>
        <w:t xml:space="preserve"> </w:t>
      </w:r>
      <w:r w:rsidR="00A45B15" w:rsidRPr="00741E32">
        <w:rPr>
          <w:sz w:val="28"/>
          <w:szCs w:val="28"/>
          <w:lang w:val="vi-VN"/>
        </w:rPr>
        <w:t xml:space="preserve">chăm </w:t>
      </w:r>
      <w:r w:rsidR="00711B2D" w:rsidRPr="00741E32">
        <w:rPr>
          <w:sz w:val="28"/>
          <w:szCs w:val="28"/>
          <w:lang w:val="vi-VN"/>
        </w:rPr>
        <w:t xml:space="preserve">sóc </w:t>
      </w:r>
      <w:r w:rsidR="00A45B15" w:rsidRPr="00741E32">
        <w:rPr>
          <w:sz w:val="28"/>
          <w:szCs w:val="28"/>
          <w:lang w:val="vi-VN"/>
        </w:rPr>
        <w:t>trẻ dưới 36 tháng (vốn có cường độ lao động cao)</w:t>
      </w:r>
      <w:r w:rsidR="00711B2D" w:rsidRPr="00741E32">
        <w:rPr>
          <w:sz w:val="28"/>
          <w:szCs w:val="28"/>
          <w:lang w:val="vi-VN"/>
        </w:rPr>
        <w:t>.</w:t>
      </w:r>
    </w:p>
    <w:p w14:paraId="4D7D1A66" w14:textId="425B98DB" w:rsidR="00E04615" w:rsidRPr="00741E32" w:rsidRDefault="00E04615" w:rsidP="00A24779">
      <w:pPr>
        <w:spacing w:before="80"/>
        <w:ind w:firstLine="720"/>
        <w:jc w:val="both"/>
        <w:rPr>
          <w:i/>
          <w:sz w:val="28"/>
          <w:szCs w:val="28"/>
          <w:lang w:val="sv-SE"/>
        </w:rPr>
      </w:pPr>
      <w:r w:rsidRPr="00741E32">
        <w:rPr>
          <w:i/>
          <w:sz w:val="28"/>
          <w:szCs w:val="28"/>
          <w:lang w:val="sv-SE"/>
        </w:rPr>
        <w:t>b) Giải pháp 2: Hỗ trợ 1</w:t>
      </w:r>
      <w:r w:rsidR="00C168CA" w:rsidRPr="00741E32">
        <w:rPr>
          <w:i/>
          <w:sz w:val="28"/>
          <w:szCs w:val="28"/>
          <w:lang w:val="sv-SE"/>
        </w:rPr>
        <w:t>,</w:t>
      </w:r>
      <w:r w:rsidRPr="00741E32">
        <w:rPr>
          <w:i/>
          <w:sz w:val="28"/>
          <w:szCs w:val="28"/>
          <w:lang w:val="sv-SE"/>
        </w:rPr>
        <w:t>000,000 đồng/giáo viên/tháng (không quá 9 tháng/năm học), trường hợp dạy dưới 15 ngày tính 0,5 tháng, từ 15 ngày trở lên tính 1 tháng.</w:t>
      </w:r>
    </w:p>
    <w:p w14:paraId="14DFAE95" w14:textId="59CE99E9" w:rsidR="00C168CA" w:rsidRPr="00741E32" w:rsidRDefault="00C168CA" w:rsidP="00A24779">
      <w:pPr>
        <w:spacing w:before="80"/>
        <w:ind w:firstLine="720"/>
        <w:jc w:val="both"/>
        <w:rPr>
          <w:strike/>
          <w:sz w:val="28"/>
          <w:szCs w:val="28"/>
          <w:lang w:val="sv-SE"/>
        </w:rPr>
      </w:pPr>
      <w:r w:rsidRPr="00741E32">
        <w:rPr>
          <w:i/>
          <w:iCs/>
          <w:sz w:val="28"/>
          <w:szCs w:val="28"/>
          <w:lang w:val="sv-SE"/>
        </w:rPr>
        <w:t>- Tác động đối với hệ thống pháp luật:</w:t>
      </w:r>
      <w:r w:rsidRPr="00741E32">
        <w:rPr>
          <w:b/>
          <w:bCs/>
          <w:sz w:val="28"/>
          <w:szCs w:val="28"/>
          <w:lang w:val="sv-SE"/>
        </w:rPr>
        <w:t xml:space="preserve"> </w:t>
      </w:r>
      <w:r w:rsidRPr="00741E32">
        <w:rPr>
          <w:sz w:val="28"/>
          <w:szCs w:val="28"/>
          <w:lang w:val="sv-SE"/>
        </w:rPr>
        <w:t xml:space="preserve">Không trái quy định cấp trên (địa phương có thể quy định cao hơn mức tối thiểu). Tuy nhiên, mức tăng có sự khác biệt với </w:t>
      </w:r>
      <w:r w:rsidR="00A45B15" w:rsidRPr="00741E32">
        <w:rPr>
          <w:sz w:val="28"/>
          <w:szCs w:val="28"/>
          <w:lang w:val="sv-SE"/>
        </w:rPr>
        <w:t xml:space="preserve">mức </w:t>
      </w:r>
      <w:r w:rsidRPr="00741E32">
        <w:rPr>
          <w:sz w:val="28"/>
          <w:szCs w:val="28"/>
          <w:lang w:val="sv-SE"/>
        </w:rPr>
        <w:t xml:space="preserve">đang áp dụng tại Nghị định </w:t>
      </w:r>
      <w:r w:rsidR="004B7736" w:rsidRPr="00741E32">
        <w:rPr>
          <w:sz w:val="28"/>
          <w:szCs w:val="28"/>
          <w:lang w:val="sv-SE"/>
        </w:rPr>
        <w:t xml:space="preserve">số </w:t>
      </w:r>
      <w:r w:rsidRPr="00741E32">
        <w:rPr>
          <w:sz w:val="28"/>
          <w:szCs w:val="28"/>
          <w:lang w:val="sv-SE"/>
        </w:rPr>
        <w:t>277/NĐ-CP (960.000 đồng/tháng)</w:t>
      </w:r>
      <w:r w:rsidR="008F6E54" w:rsidRPr="00741E32">
        <w:rPr>
          <w:sz w:val="28"/>
          <w:szCs w:val="28"/>
          <w:lang w:val="sv-SE"/>
        </w:rPr>
        <w:t>.</w:t>
      </w:r>
    </w:p>
    <w:p w14:paraId="0F743C6C" w14:textId="6537607E" w:rsidR="00C168CA" w:rsidRPr="00741E32" w:rsidRDefault="00C168CA" w:rsidP="00A24779">
      <w:pPr>
        <w:spacing w:before="80"/>
        <w:ind w:firstLine="720"/>
        <w:jc w:val="both"/>
        <w:rPr>
          <w:sz w:val="28"/>
          <w:szCs w:val="28"/>
          <w:lang w:val="sv-SE"/>
        </w:rPr>
      </w:pPr>
      <w:r w:rsidRPr="00741E32">
        <w:rPr>
          <w:i/>
          <w:iCs/>
          <w:sz w:val="28"/>
          <w:szCs w:val="28"/>
          <w:lang w:val="sv-SE"/>
        </w:rPr>
        <w:t>- Tác động kinh tế – xã hội:</w:t>
      </w:r>
      <w:r w:rsidRPr="00741E32">
        <w:rPr>
          <w:b/>
          <w:bCs/>
          <w:sz w:val="28"/>
          <w:szCs w:val="28"/>
          <w:lang w:val="sv-SE"/>
        </w:rPr>
        <w:t xml:space="preserve"> </w:t>
      </w:r>
      <w:r w:rsidRPr="00741E32">
        <w:rPr>
          <w:sz w:val="28"/>
          <w:szCs w:val="28"/>
          <w:lang w:val="sv-SE"/>
        </w:rPr>
        <w:t xml:space="preserve">Tăng thu nhập cho giáo viên, tạo động lực nhất định. Tuy nhiên, mức tăng thêm </w:t>
      </w:r>
      <w:r w:rsidR="00711B2D" w:rsidRPr="00741E32">
        <w:rPr>
          <w:sz w:val="28"/>
          <w:szCs w:val="28"/>
          <w:lang w:val="sv-SE"/>
        </w:rPr>
        <w:t>40</w:t>
      </w:r>
      <w:r w:rsidR="009F6A1C" w:rsidRPr="00741E32">
        <w:rPr>
          <w:sz w:val="28"/>
          <w:szCs w:val="28"/>
          <w:lang w:val="sv-SE"/>
        </w:rPr>
        <w:t>,000</w:t>
      </w:r>
      <w:r w:rsidRPr="00741E32">
        <w:rPr>
          <w:sz w:val="28"/>
          <w:szCs w:val="28"/>
          <w:lang w:val="sv-SE"/>
        </w:rPr>
        <w:t xml:space="preserve"> đồng/tháng so </w:t>
      </w:r>
      <w:r w:rsidR="00647B4D" w:rsidRPr="00741E32">
        <w:rPr>
          <w:sz w:val="28"/>
          <w:szCs w:val="28"/>
          <w:lang w:val="sv-SE"/>
        </w:rPr>
        <w:t>(</w:t>
      </w:r>
      <w:r w:rsidRPr="00741E32">
        <w:rPr>
          <w:sz w:val="28"/>
          <w:szCs w:val="28"/>
          <w:lang w:val="sv-SE"/>
        </w:rPr>
        <w:t>với mức 960.000 đồng</w:t>
      </w:r>
      <w:r w:rsidR="00647B4D" w:rsidRPr="00741E32">
        <w:rPr>
          <w:sz w:val="28"/>
          <w:szCs w:val="28"/>
          <w:lang w:val="sv-SE"/>
        </w:rPr>
        <w:t>)</w:t>
      </w:r>
      <w:r w:rsidRPr="00741E32">
        <w:rPr>
          <w:sz w:val="28"/>
          <w:szCs w:val="28"/>
          <w:lang w:val="sv-SE"/>
        </w:rPr>
        <w:t xml:space="preserve"> là không đáng kể</w:t>
      </w:r>
      <w:r w:rsidR="00A45B15" w:rsidRPr="00741E32">
        <w:rPr>
          <w:sz w:val="28"/>
          <w:szCs w:val="28"/>
          <w:lang w:val="sv-SE"/>
        </w:rPr>
        <w:t>.</w:t>
      </w:r>
    </w:p>
    <w:p w14:paraId="1BB3C149" w14:textId="647BB6E3" w:rsidR="007A0201" w:rsidRPr="00741E32" w:rsidRDefault="00E04615" w:rsidP="00A24779">
      <w:pPr>
        <w:spacing w:before="80"/>
        <w:ind w:firstLine="720"/>
        <w:jc w:val="both"/>
        <w:rPr>
          <w:bCs/>
          <w:i/>
          <w:iCs/>
          <w:sz w:val="28"/>
          <w:szCs w:val="28"/>
          <w:lang w:val="de-DE"/>
        </w:rPr>
      </w:pPr>
      <w:r w:rsidRPr="00741E32">
        <w:rPr>
          <w:i/>
          <w:iCs/>
          <w:sz w:val="28"/>
          <w:szCs w:val="28"/>
          <w:lang w:val="sv-SE"/>
        </w:rPr>
        <w:t>c) Gi</w:t>
      </w:r>
      <w:r w:rsidR="00F12800" w:rsidRPr="00741E32">
        <w:rPr>
          <w:i/>
          <w:iCs/>
          <w:sz w:val="28"/>
          <w:szCs w:val="28"/>
          <w:lang w:val="sv-SE"/>
        </w:rPr>
        <w:t>ải</w:t>
      </w:r>
      <w:r w:rsidRPr="00741E32">
        <w:rPr>
          <w:i/>
          <w:iCs/>
          <w:sz w:val="28"/>
          <w:szCs w:val="28"/>
          <w:lang w:val="sv-SE"/>
        </w:rPr>
        <w:t xml:space="preserve"> pháp 3: </w:t>
      </w:r>
      <w:r w:rsidR="0086248C" w:rsidRPr="00741E32">
        <w:rPr>
          <w:i/>
          <w:iCs/>
          <w:sz w:val="28"/>
          <w:szCs w:val="28"/>
          <w:lang w:val="sv-SE"/>
        </w:rPr>
        <w:t xml:space="preserve">Hỗ trợ </w:t>
      </w:r>
      <w:r w:rsidR="00DE7864" w:rsidRPr="00741E32">
        <w:rPr>
          <w:i/>
          <w:iCs/>
          <w:sz w:val="28"/>
          <w:szCs w:val="28"/>
          <w:lang w:val="sv-SE"/>
        </w:rPr>
        <w:t>960</w:t>
      </w:r>
      <w:r w:rsidR="0086248C" w:rsidRPr="00741E32">
        <w:rPr>
          <w:i/>
          <w:iCs/>
          <w:sz w:val="28"/>
          <w:szCs w:val="28"/>
          <w:lang w:val="sv-SE"/>
        </w:rPr>
        <w:t>.000 đồng/giáo viên/tháng</w:t>
      </w:r>
      <w:r w:rsidR="007A0201" w:rsidRPr="00741E32">
        <w:rPr>
          <w:i/>
          <w:iCs/>
          <w:sz w:val="28"/>
          <w:szCs w:val="28"/>
          <w:lang w:val="sv-SE"/>
        </w:rPr>
        <w:t xml:space="preserve">. </w:t>
      </w:r>
      <w:r w:rsidR="007A0201" w:rsidRPr="00741E32">
        <w:rPr>
          <w:bCs/>
          <w:i/>
          <w:iCs/>
          <w:sz w:val="28"/>
          <w:szCs w:val="28"/>
          <w:lang w:val="de-DE"/>
        </w:rPr>
        <w:t>Thời gian hỗ trợ không quá 9 tháng/năm học, dạy dưới 15 ngày tính 0,5 tháng, từ 15 ngày trở lên tính 1 tháng.</w:t>
      </w:r>
    </w:p>
    <w:p w14:paraId="543BB596" w14:textId="187C7FC2" w:rsidR="002850CD" w:rsidRPr="00741E32" w:rsidRDefault="00DE7864" w:rsidP="002850CD">
      <w:pPr>
        <w:spacing w:before="120"/>
        <w:ind w:firstLine="720"/>
        <w:jc w:val="both"/>
        <w:rPr>
          <w:sz w:val="28"/>
          <w:szCs w:val="28"/>
          <w:lang w:val="de-DE"/>
        </w:rPr>
      </w:pPr>
      <w:r w:rsidRPr="00741E32">
        <w:rPr>
          <w:i/>
          <w:sz w:val="28"/>
          <w:szCs w:val="28"/>
          <w:lang w:val="sv-SE"/>
        </w:rPr>
        <w:t>-</w:t>
      </w:r>
      <w:r w:rsidR="00AF155C" w:rsidRPr="00741E32">
        <w:rPr>
          <w:i/>
          <w:sz w:val="28"/>
          <w:szCs w:val="28"/>
          <w:lang w:val="sv-SE"/>
        </w:rPr>
        <w:t xml:space="preserve"> </w:t>
      </w:r>
      <w:r w:rsidR="0086248C" w:rsidRPr="00741E32">
        <w:rPr>
          <w:i/>
          <w:sz w:val="28"/>
          <w:szCs w:val="28"/>
          <w:lang w:val="sv-SE"/>
        </w:rPr>
        <w:t>Tác động đối với hệ thống pháp luật:</w:t>
      </w:r>
      <w:r w:rsidRPr="00741E32">
        <w:rPr>
          <w:i/>
          <w:sz w:val="28"/>
          <w:szCs w:val="28"/>
          <w:lang w:val="sv-SE"/>
        </w:rPr>
        <w:t xml:space="preserve"> </w:t>
      </w:r>
      <w:r w:rsidRPr="00741E32">
        <w:rPr>
          <w:sz w:val="28"/>
          <w:szCs w:val="28"/>
          <w:lang w:val="sv-SE"/>
        </w:rPr>
        <w:t xml:space="preserve">Phù hợp với chủ trương nâng chất lượng </w:t>
      </w:r>
      <w:r w:rsidR="00D43BB3" w:rsidRPr="00741E32">
        <w:rPr>
          <w:sz w:val="28"/>
          <w:szCs w:val="28"/>
          <w:lang w:val="sv-SE"/>
        </w:rPr>
        <w:t>giáo dục mầm non</w:t>
      </w:r>
      <w:r w:rsidRPr="00741E32">
        <w:rPr>
          <w:sz w:val="28"/>
          <w:szCs w:val="28"/>
          <w:lang w:val="sv-SE"/>
        </w:rPr>
        <w:t xml:space="preserve"> </w:t>
      </w:r>
      <w:r w:rsidR="00711B2D" w:rsidRPr="00741E32">
        <w:rPr>
          <w:sz w:val="28"/>
          <w:szCs w:val="28"/>
          <w:lang w:val="sv-SE"/>
        </w:rPr>
        <w:t xml:space="preserve">tại </w:t>
      </w:r>
      <w:r w:rsidR="00711B2D" w:rsidRPr="00741E32">
        <w:rPr>
          <w:sz w:val="28"/>
          <w:szCs w:val="28"/>
          <w:lang w:val="de-DE" w:eastAsia="en-US"/>
        </w:rPr>
        <w:t>Quyết định số 2270/QĐ-TTg ngày 14/10/2025 của Thủ tướng Chính phủ phê duyệt Chương trình “Nâng cao chất lượng giáo dục mầm non ở địa bàn đô thị, khu công nghiệp giai đoạn 2025–2035, định hướng đến năm 2045”</w:t>
      </w:r>
      <w:r w:rsidR="004023FC" w:rsidRPr="00741E32">
        <w:rPr>
          <w:sz w:val="28"/>
          <w:szCs w:val="28"/>
          <w:lang w:val="sv-SE"/>
        </w:rPr>
        <w:t>; mức chi 96</w:t>
      </w:r>
      <w:r w:rsidR="00711B2D" w:rsidRPr="00741E32">
        <w:rPr>
          <w:sz w:val="28"/>
          <w:szCs w:val="28"/>
          <w:lang w:val="sv-SE"/>
        </w:rPr>
        <w:t>0</w:t>
      </w:r>
      <w:r w:rsidR="004023FC" w:rsidRPr="00741E32">
        <w:rPr>
          <w:sz w:val="28"/>
          <w:szCs w:val="28"/>
          <w:lang w:val="sv-SE"/>
        </w:rPr>
        <w:t>,</w:t>
      </w:r>
      <w:r w:rsidR="004023FC" w:rsidRPr="00741E32">
        <w:rPr>
          <w:sz w:val="28"/>
          <w:szCs w:val="28"/>
          <w:lang w:val="vi-VN"/>
        </w:rPr>
        <w:t>000 đồng tương đương với mức hỗ trợ dành cho giáo viên công lập thực hiện nhiệm vụ phổ cập giáo dục mầm non trẻ cho từ 3 - 5 tuổi theo Nghị định 277/2025/NĐ</w:t>
      </w:r>
      <w:r w:rsidR="004023FC" w:rsidRPr="00741E32">
        <w:rPr>
          <w:sz w:val="28"/>
          <w:szCs w:val="28"/>
          <w:lang w:val="vi-VN"/>
        </w:rPr>
        <w:noBreakHyphen/>
        <w:t>CP</w:t>
      </w:r>
      <w:r w:rsidR="001518C9" w:rsidRPr="00741E32">
        <w:rPr>
          <w:sz w:val="28"/>
          <w:szCs w:val="28"/>
          <w:lang w:val="de-DE"/>
        </w:rPr>
        <w:t xml:space="preserve">, đảm bảo </w:t>
      </w:r>
      <w:r w:rsidR="002850CD" w:rsidRPr="00741E32">
        <w:rPr>
          <w:sz w:val="28"/>
          <w:szCs w:val="28"/>
          <w:lang w:val="de-DE"/>
        </w:rPr>
        <w:t xml:space="preserve">sự công bằng tương đối giữa giáo viên công lập và giáo </w:t>
      </w:r>
      <w:r w:rsidR="002850CD" w:rsidRPr="00741E32">
        <w:rPr>
          <w:sz w:val="28"/>
          <w:szCs w:val="28"/>
          <w:lang w:val="de-DE"/>
        </w:rPr>
        <w:lastRenderedPageBreak/>
        <w:t>viên ngoài công lập, nhất là trong bối cảnh giáo viên ngoài công lập tại khu công nghiệp đang thực hiện khối lượng công việc lớn, chăm sóc trẻ mầm non có cường độ cao.</w:t>
      </w:r>
    </w:p>
    <w:p w14:paraId="3A15C03C" w14:textId="44A79D2B" w:rsidR="00DE7864" w:rsidRPr="00741E32" w:rsidRDefault="00711B2D" w:rsidP="00A24779">
      <w:pPr>
        <w:spacing w:before="80"/>
        <w:ind w:firstLine="720"/>
        <w:jc w:val="both"/>
        <w:rPr>
          <w:rStyle w:val="ng-star-inserted"/>
          <w:i/>
          <w:sz w:val="28"/>
          <w:szCs w:val="28"/>
          <w:lang w:val="sv-SE"/>
        </w:rPr>
      </w:pPr>
      <w:r w:rsidRPr="00741E32">
        <w:rPr>
          <w:sz w:val="28"/>
          <w:szCs w:val="28"/>
          <w:lang w:val="de-DE"/>
        </w:rPr>
        <w:t xml:space="preserve">- </w:t>
      </w:r>
      <w:r w:rsidR="00DE7864" w:rsidRPr="00741E32">
        <w:rPr>
          <w:i/>
          <w:iCs/>
          <w:sz w:val="28"/>
          <w:szCs w:val="28"/>
          <w:lang w:val="sv-SE"/>
        </w:rPr>
        <w:t>Quy định rõ về cách tính thời gian hỗ trợ:</w:t>
      </w:r>
      <w:r w:rsidR="00DE7864" w:rsidRPr="00741E32">
        <w:rPr>
          <w:rFonts w:eastAsia="Georgia"/>
          <w:sz w:val="28"/>
          <w:szCs w:val="28"/>
          <w:lang w:val="sv-SE"/>
        </w:rPr>
        <w:t xml:space="preserve"> Nghị quyết 69/2021/NQ-HĐND quy định rõ </w:t>
      </w:r>
      <w:r w:rsidR="00DE7864" w:rsidRPr="00741E32">
        <w:rPr>
          <w:rFonts w:eastAsia="Georgia"/>
          <w:i/>
          <w:sz w:val="28"/>
          <w:szCs w:val="28"/>
          <w:lang w:val="sv-SE"/>
        </w:rPr>
        <w:t>"dạy dưới 15 ngày tính 0,5 tháng, từ 15 ngày trở lên tính 1 tháng"</w:t>
      </w:r>
      <w:r w:rsidR="00DE7864" w:rsidRPr="00741E32">
        <w:rPr>
          <w:rFonts w:eastAsia="Georgia"/>
          <w:sz w:val="28"/>
          <w:szCs w:val="28"/>
          <w:lang w:val="sv-SE"/>
        </w:rPr>
        <w:t xml:space="preserve">. </w:t>
      </w:r>
      <w:r w:rsidR="00DE7864" w:rsidRPr="00741E32">
        <w:rPr>
          <w:rStyle w:val="ng-star-inserted"/>
          <w:sz w:val="28"/>
          <w:szCs w:val="28"/>
          <w:lang w:val="vi-VN"/>
        </w:rPr>
        <w:t xml:space="preserve">Đảm bảo công bằng và hợp lý trong việc chi trả hỗ trợ cho giáo viên mầm non làm việc tại cơ sở giáo dục mầm non </w:t>
      </w:r>
      <w:r w:rsidR="00BC1B5D" w:rsidRPr="00741E32">
        <w:rPr>
          <w:rStyle w:val="ng-star-inserted"/>
          <w:sz w:val="28"/>
          <w:szCs w:val="28"/>
          <w:lang w:val="sv-SE"/>
        </w:rPr>
        <w:t>ngoài công lập</w:t>
      </w:r>
      <w:r w:rsidR="00DE7864" w:rsidRPr="00741E32">
        <w:rPr>
          <w:rStyle w:val="ng-star-inserted"/>
          <w:sz w:val="28"/>
          <w:szCs w:val="28"/>
          <w:lang w:val="vi-VN"/>
        </w:rPr>
        <w:t xml:space="preserve"> ở địa bàn có khu công nghiệp, đặc biệt là những người làm việc không đủ tháng do các lý do khách quan như nghỉ phép, nghỉ ốm, hoặc thay đổi công việc.</w:t>
      </w:r>
      <w:r w:rsidR="00BC1B5D" w:rsidRPr="00741E32">
        <w:rPr>
          <w:rStyle w:val="ng-star-inserted"/>
          <w:sz w:val="28"/>
          <w:szCs w:val="28"/>
          <w:lang w:val="sv-SE"/>
        </w:rPr>
        <w:t xml:space="preserve"> </w:t>
      </w:r>
    </w:p>
    <w:p w14:paraId="6F7C95FC" w14:textId="44F3D866" w:rsidR="00DE7864" w:rsidRPr="00741E32" w:rsidRDefault="00DE7864" w:rsidP="00A24779">
      <w:pPr>
        <w:spacing w:before="80"/>
        <w:ind w:firstLine="720"/>
        <w:jc w:val="both"/>
        <w:rPr>
          <w:rStyle w:val="ng-star-inserted"/>
          <w:sz w:val="28"/>
          <w:szCs w:val="28"/>
          <w:lang w:val="vi-VN"/>
        </w:rPr>
      </w:pPr>
      <w:r w:rsidRPr="00741E32">
        <w:rPr>
          <w:i/>
          <w:iCs/>
          <w:sz w:val="28"/>
          <w:szCs w:val="28"/>
          <w:lang w:val="sv-SE"/>
        </w:rPr>
        <w:t>- Tác động kinh tế – xã hội:</w:t>
      </w:r>
      <w:r w:rsidRPr="00741E32">
        <w:rPr>
          <w:sz w:val="28"/>
          <w:szCs w:val="28"/>
          <w:lang w:val="sv-SE"/>
        </w:rPr>
        <w:t xml:space="preserve"> Tăng thu nhập, giữ chân giáo viên chăm trẻ dưới 36 tháng (vốn có cường độ lao động cao); giảm biến động lao động ở cơ sở </w:t>
      </w:r>
      <w:r w:rsidR="00F07675" w:rsidRPr="00741E32">
        <w:rPr>
          <w:sz w:val="28"/>
          <w:szCs w:val="28"/>
          <w:lang w:val="sv-SE"/>
        </w:rPr>
        <w:t xml:space="preserve">giáo dục mầm non </w:t>
      </w:r>
      <w:r w:rsidRPr="00741E32">
        <w:rPr>
          <w:sz w:val="28"/>
          <w:szCs w:val="28"/>
          <w:lang w:val="sv-SE"/>
        </w:rPr>
        <w:t xml:space="preserve">ngoài công lập; cải thiện chất lượng tương tác, an toàn cho trẻ. </w:t>
      </w:r>
      <w:r w:rsidRPr="00741E32">
        <w:rPr>
          <w:rStyle w:val="ng-star-inserted"/>
          <w:sz w:val="28"/>
          <w:szCs w:val="28"/>
          <w:lang w:val="vi-VN"/>
        </w:rPr>
        <w:t xml:space="preserve">Phù hợp với thực tế công tác giảng dạy: Giáo viên mầm non làm việc tại cơ sở giáo dục mầm non </w:t>
      </w:r>
      <w:r w:rsidR="00BC1B5D" w:rsidRPr="00741E32">
        <w:rPr>
          <w:rStyle w:val="ng-star-inserted"/>
          <w:sz w:val="28"/>
          <w:szCs w:val="28"/>
          <w:lang w:val="sv-SE"/>
        </w:rPr>
        <w:t>ngoài công lập</w:t>
      </w:r>
      <w:r w:rsidR="005B63B8" w:rsidRPr="00741E32">
        <w:rPr>
          <w:rStyle w:val="ng-star-inserted"/>
          <w:sz w:val="28"/>
          <w:szCs w:val="28"/>
          <w:lang w:val="sv-SE"/>
        </w:rPr>
        <w:t xml:space="preserve"> </w:t>
      </w:r>
      <w:r w:rsidRPr="00741E32">
        <w:rPr>
          <w:rStyle w:val="ng-star-inserted"/>
          <w:sz w:val="28"/>
          <w:szCs w:val="28"/>
          <w:lang w:val="vi-VN"/>
        </w:rPr>
        <w:t xml:space="preserve">ở địa bàn có khu công nghiệp ít ổn định, có thể nghỉ giữa tháng hoặc bắt đầu công việc giữa tháng. Việc quy định rõ ràng mốc 15 ngày giúp xác định mức </w:t>
      </w:r>
      <w:r w:rsidR="00850A70" w:rsidRPr="00741E32">
        <w:rPr>
          <w:rStyle w:val="ng-star-inserted"/>
          <w:sz w:val="28"/>
          <w:szCs w:val="28"/>
          <w:lang w:val="vi-VN"/>
        </w:rPr>
        <w:t xml:space="preserve">chi trả, </w:t>
      </w:r>
      <w:r w:rsidRPr="00741E32">
        <w:rPr>
          <w:rStyle w:val="ng-star-inserted"/>
          <w:sz w:val="28"/>
          <w:szCs w:val="28"/>
          <w:lang w:val="vi-VN"/>
        </w:rPr>
        <w:t xml:space="preserve">hỗ trợ minh bạch. </w:t>
      </w:r>
    </w:p>
    <w:p w14:paraId="322AD943" w14:textId="5485572F" w:rsidR="00DE7864" w:rsidRPr="00741E32" w:rsidRDefault="00DE7864" w:rsidP="00A24779">
      <w:pPr>
        <w:spacing w:before="80"/>
        <w:ind w:firstLine="720"/>
        <w:jc w:val="both"/>
        <w:rPr>
          <w:sz w:val="28"/>
          <w:szCs w:val="28"/>
          <w:lang w:val="vi-VN"/>
        </w:rPr>
      </w:pPr>
      <w:r w:rsidRPr="00741E32">
        <w:rPr>
          <w:i/>
          <w:iCs/>
          <w:sz w:val="28"/>
          <w:szCs w:val="28"/>
          <w:lang w:val="vi-VN"/>
        </w:rPr>
        <w:t xml:space="preserve">- Tác động về giới: </w:t>
      </w:r>
      <w:r w:rsidRPr="00741E32">
        <w:rPr>
          <w:sz w:val="28"/>
          <w:szCs w:val="28"/>
          <w:lang w:val="vi-VN"/>
        </w:rPr>
        <w:t>Lực lượng giáo viên mầm non chủ yếu là nữ, chính sách góp phần nâng cao phúc lợi, giảm áp lực kinh tế, qua đó hỗ trợ bình đẳng giới trong ngành.</w:t>
      </w:r>
      <w:r w:rsidRPr="00741E32">
        <w:rPr>
          <w:rStyle w:val="ng-star-inserted"/>
          <w:sz w:val="28"/>
          <w:szCs w:val="28"/>
          <w:lang w:val="vi-VN"/>
        </w:rPr>
        <w:t xml:space="preserve"> Khuyến khích giáo viên duy trì công việc ổn định, t</w:t>
      </w:r>
      <w:r w:rsidRPr="00741E32">
        <w:rPr>
          <w:rFonts w:eastAsia="Georgia"/>
          <w:sz w:val="28"/>
          <w:szCs w:val="28"/>
          <w:lang w:val="vi-VN"/>
        </w:rPr>
        <w:t>ạo</w:t>
      </w:r>
      <w:r w:rsidRPr="00741E32">
        <w:rPr>
          <w:sz w:val="28"/>
          <w:szCs w:val="28"/>
          <w:lang w:val="vi-VN"/>
        </w:rPr>
        <w:t xml:space="preserve"> động lực để giáo viên yên tâm g</w:t>
      </w:r>
      <w:r w:rsidR="009E71D5" w:rsidRPr="00741E32">
        <w:rPr>
          <w:sz w:val="28"/>
          <w:szCs w:val="28"/>
          <w:lang w:val="vi-VN"/>
        </w:rPr>
        <w:t>ắ</w:t>
      </w:r>
      <w:r w:rsidRPr="00741E32">
        <w:rPr>
          <w:sz w:val="28"/>
          <w:szCs w:val="28"/>
          <w:lang w:val="vi-VN"/>
        </w:rPr>
        <w:t>n bó với nghề</w:t>
      </w:r>
      <w:r w:rsidR="000C4B89" w:rsidRPr="00741E32">
        <w:rPr>
          <w:rStyle w:val="ng-star-inserted"/>
          <w:sz w:val="28"/>
          <w:szCs w:val="28"/>
          <w:lang w:val="vi-VN"/>
        </w:rPr>
        <w:t>.</w:t>
      </w:r>
      <w:r w:rsidRPr="00741E32">
        <w:rPr>
          <w:rStyle w:val="ng-star-inserted"/>
          <w:sz w:val="28"/>
          <w:szCs w:val="28"/>
          <w:lang w:val="vi-VN"/>
        </w:rPr>
        <w:t xml:space="preserve"> Quy định này tạo động lực để giáo viên làm việc tại cơ sở giáo dục mầm non </w:t>
      </w:r>
      <w:r w:rsidR="00030CA4" w:rsidRPr="00741E32">
        <w:rPr>
          <w:rStyle w:val="ng-star-inserted"/>
          <w:sz w:val="28"/>
          <w:szCs w:val="28"/>
          <w:lang w:val="vi-VN"/>
        </w:rPr>
        <w:t>độc lập</w:t>
      </w:r>
      <w:r w:rsidRPr="00741E32">
        <w:rPr>
          <w:rStyle w:val="ng-star-inserted"/>
          <w:sz w:val="28"/>
          <w:szCs w:val="28"/>
          <w:lang w:val="vi-VN"/>
        </w:rPr>
        <w:t xml:space="preserve"> ở địa bàn có khu công nghiệp làm việc đủ ngày trong tháng để nhận mức hỗ trợ trọn vẹn.</w:t>
      </w:r>
    </w:p>
    <w:p w14:paraId="30DDA553" w14:textId="77777777" w:rsidR="00DE7864" w:rsidRPr="00741E32" w:rsidRDefault="00DE7864" w:rsidP="00A24779">
      <w:pPr>
        <w:spacing w:before="80"/>
        <w:ind w:firstLine="720"/>
        <w:jc w:val="both"/>
        <w:rPr>
          <w:rStyle w:val="ng-star-inserted"/>
          <w:sz w:val="28"/>
          <w:szCs w:val="28"/>
          <w:lang w:val="vi-VN"/>
        </w:rPr>
      </w:pPr>
      <w:r w:rsidRPr="00741E32">
        <w:rPr>
          <w:i/>
          <w:iCs/>
          <w:sz w:val="28"/>
          <w:szCs w:val="28"/>
          <w:lang w:val="vi-VN"/>
        </w:rPr>
        <w:t>- Tác động</w:t>
      </w:r>
      <w:r w:rsidR="00971799" w:rsidRPr="00741E32">
        <w:rPr>
          <w:i/>
          <w:iCs/>
          <w:sz w:val="28"/>
          <w:szCs w:val="28"/>
          <w:lang w:val="vi-VN"/>
        </w:rPr>
        <w:t xml:space="preserve"> của</w:t>
      </w:r>
      <w:r w:rsidRPr="00741E32">
        <w:rPr>
          <w:i/>
          <w:iCs/>
          <w:sz w:val="28"/>
          <w:szCs w:val="28"/>
          <w:lang w:val="vi-VN"/>
        </w:rPr>
        <w:t xml:space="preserve"> thủ tục hành chính:</w:t>
      </w:r>
      <w:r w:rsidRPr="00741E32">
        <w:rPr>
          <w:sz w:val="28"/>
          <w:szCs w:val="28"/>
          <w:lang w:val="vi-VN"/>
        </w:rPr>
        <w:t xml:space="preserve"> Cơ chế tính theo ngày công (dưới 15 ngày tính 0,5 tháng; từ 15 ngày trở lên tính 01 tháng) rõ ràng, thuận tiện kiểm soát; cần hướng dẫn chuẩn hóa bảng chấm công, phân công chuyên môn.</w:t>
      </w:r>
      <w:r w:rsidRPr="00741E32">
        <w:rPr>
          <w:rStyle w:val="ng-star-inserted"/>
          <w:sz w:val="28"/>
          <w:szCs w:val="28"/>
          <w:lang w:val="vi-VN"/>
        </w:rPr>
        <w:t xml:space="preserve"> Tạo điều kiện thuận lợi cho cơ quan chi trả: Giúp đơn vị quản lý dễ dàng xác định thời gian được hưởng hỗ trợ, tránh sai sót trong quá trình thực hiện. </w:t>
      </w:r>
    </w:p>
    <w:p w14:paraId="0806EA63" w14:textId="77777777" w:rsidR="00066ED4" w:rsidRPr="00741E32" w:rsidRDefault="0086248C" w:rsidP="00A24779">
      <w:pPr>
        <w:spacing w:before="80"/>
        <w:ind w:firstLine="720"/>
        <w:rPr>
          <w:sz w:val="28"/>
          <w:szCs w:val="28"/>
          <w:lang w:val="vi-VN"/>
        </w:rPr>
      </w:pPr>
      <w:bookmarkStart w:id="13" w:name="bm_3_2_giải_pháp_tối_ưu_được_lựa_2da126"/>
      <w:r w:rsidRPr="00741E32">
        <w:rPr>
          <w:rFonts w:eastAsia="Georgia"/>
          <w:b/>
          <w:sz w:val="28"/>
          <w:szCs w:val="28"/>
          <w:lang w:val="vi-VN"/>
        </w:rPr>
        <w:t>3.2. Giải pháp tối ưu được lựa chọn và lý do lựa chọn</w:t>
      </w:r>
      <w:bookmarkEnd w:id="13"/>
    </w:p>
    <w:p w14:paraId="0C5A94E3" w14:textId="2F95D089" w:rsidR="00066ED4" w:rsidRPr="00741E32" w:rsidRDefault="0023431C" w:rsidP="00A24779">
      <w:pPr>
        <w:spacing w:before="80"/>
        <w:ind w:firstLine="720"/>
        <w:jc w:val="both"/>
        <w:rPr>
          <w:sz w:val="28"/>
          <w:szCs w:val="28"/>
          <w:lang w:val="vi-VN"/>
        </w:rPr>
      </w:pPr>
      <w:r w:rsidRPr="00741E32">
        <w:rPr>
          <w:i/>
          <w:sz w:val="28"/>
          <w:szCs w:val="28"/>
          <w:lang w:val="vi-VN"/>
        </w:rPr>
        <w:t>a)</w:t>
      </w:r>
      <w:r w:rsidR="00066ED4" w:rsidRPr="00741E32">
        <w:rPr>
          <w:i/>
          <w:sz w:val="28"/>
          <w:szCs w:val="28"/>
          <w:lang w:val="vi-VN"/>
        </w:rPr>
        <w:t xml:space="preserve"> </w:t>
      </w:r>
      <w:r w:rsidR="0086248C" w:rsidRPr="00741E32">
        <w:rPr>
          <w:i/>
          <w:sz w:val="28"/>
          <w:szCs w:val="28"/>
          <w:lang w:val="vi-VN"/>
        </w:rPr>
        <w:t>Giải pháp được lựa chọn:</w:t>
      </w:r>
      <w:r w:rsidR="0086248C" w:rsidRPr="00741E32">
        <w:rPr>
          <w:rFonts w:eastAsia="Georgia"/>
          <w:sz w:val="28"/>
          <w:szCs w:val="28"/>
          <w:lang w:val="vi-VN"/>
        </w:rPr>
        <w:t xml:space="preserve"> Giải pháp </w:t>
      </w:r>
      <w:r w:rsidR="00902195" w:rsidRPr="00741E32">
        <w:rPr>
          <w:rFonts w:eastAsia="Georgia"/>
          <w:sz w:val="28"/>
          <w:szCs w:val="28"/>
          <w:lang w:val="vi-VN"/>
        </w:rPr>
        <w:t>3</w:t>
      </w:r>
      <w:r w:rsidR="008D04D9" w:rsidRPr="00741E32">
        <w:rPr>
          <w:rFonts w:eastAsia="Georgia"/>
          <w:sz w:val="28"/>
          <w:szCs w:val="28"/>
          <w:lang w:val="vi-VN"/>
        </w:rPr>
        <w:t xml:space="preserve">: </w:t>
      </w:r>
      <w:r w:rsidR="0086248C" w:rsidRPr="00741E32">
        <w:rPr>
          <w:rFonts w:eastAsia="Georgia"/>
          <w:sz w:val="28"/>
          <w:szCs w:val="28"/>
          <w:lang w:val="vi-VN"/>
        </w:rPr>
        <w:t xml:space="preserve">Hỗ trợ </w:t>
      </w:r>
      <w:r w:rsidR="008D04D9" w:rsidRPr="00741E32">
        <w:rPr>
          <w:rFonts w:eastAsia="Georgia"/>
          <w:sz w:val="28"/>
          <w:szCs w:val="28"/>
          <w:lang w:val="vi-VN"/>
        </w:rPr>
        <w:t>960</w:t>
      </w:r>
      <w:r w:rsidR="0086248C" w:rsidRPr="00741E32">
        <w:rPr>
          <w:rFonts w:eastAsia="Georgia"/>
          <w:sz w:val="28"/>
          <w:szCs w:val="28"/>
          <w:lang w:val="vi-VN"/>
        </w:rPr>
        <w:t>.000 đồng/giáo viên/tháng (không quá 9 tháng/năm học), dạy dưới 15 ngày tính 0,5 tháng, từ 15 ngày trở lên tính 1 tháng</w:t>
      </w:r>
      <w:r w:rsidR="00AB5FAE" w:rsidRPr="00741E32">
        <w:rPr>
          <w:rFonts w:eastAsia="Georgia"/>
          <w:sz w:val="28"/>
          <w:szCs w:val="28"/>
          <w:lang w:val="vi-VN"/>
        </w:rPr>
        <w:t>.</w:t>
      </w:r>
    </w:p>
    <w:p w14:paraId="0A0E6F6E" w14:textId="77777777" w:rsidR="00066ED4" w:rsidRPr="00741E32" w:rsidRDefault="0023431C" w:rsidP="00A24779">
      <w:pPr>
        <w:spacing w:before="80"/>
        <w:ind w:firstLine="720"/>
        <w:jc w:val="both"/>
        <w:rPr>
          <w:i/>
          <w:sz w:val="28"/>
          <w:szCs w:val="28"/>
          <w:lang w:val="vi-VN"/>
        </w:rPr>
      </w:pPr>
      <w:r w:rsidRPr="00741E32">
        <w:rPr>
          <w:i/>
          <w:sz w:val="28"/>
          <w:szCs w:val="28"/>
          <w:lang w:val="vi-VN"/>
        </w:rPr>
        <w:t>b)</w:t>
      </w:r>
      <w:r w:rsidR="00066ED4" w:rsidRPr="00741E32">
        <w:rPr>
          <w:i/>
          <w:sz w:val="28"/>
          <w:szCs w:val="28"/>
          <w:lang w:val="vi-VN"/>
        </w:rPr>
        <w:t xml:space="preserve"> </w:t>
      </w:r>
      <w:r w:rsidRPr="00741E32">
        <w:rPr>
          <w:i/>
          <w:sz w:val="28"/>
          <w:szCs w:val="28"/>
          <w:lang w:val="vi-VN"/>
        </w:rPr>
        <w:t>Lý do lựa chọn</w:t>
      </w:r>
    </w:p>
    <w:p w14:paraId="17FC8703" w14:textId="6D454266" w:rsidR="000953BC" w:rsidRPr="00741E32" w:rsidRDefault="008D04D9" w:rsidP="000953BC">
      <w:pPr>
        <w:spacing w:before="80"/>
        <w:ind w:firstLine="720"/>
        <w:jc w:val="both"/>
        <w:rPr>
          <w:sz w:val="28"/>
          <w:szCs w:val="28"/>
          <w:lang w:val="vi-VN"/>
        </w:rPr>
      </w:pPr>
      <w:bookmarkStart w:id="14" w:name="iii_phụ_lục"/>
      <w:r w:rsidRPr="00741E32">
        <w:rPr>
          <w:i/>
          <w:sz w:val="28"/>
          <w:szCs w:val="28"/>
          <w:lang w:val="vi-VN"/>
        </w:rPr>
        <w:t xml:space="preserve">- </w:t>
      </w:r>
      <w:r w:rsidRPr="00741E32">
        <w:rPr>
          <w:sz w:val="28"/>
          <w:szCs w:val="28"/>
          <w:lang w:val="vi-VN"/>
        </w:rPr>
        <w:t xml:space="preserve">Phù hợp với chủ trương nâng chất lượng </w:t>
      </w:r>
      <w:r w:rsidR="00D43BB3" w:rsidRPr="00741E32">
        <w:rPr>
          <w:sz w:val="28"/>
          <w:szCs w:val="28"/>
          <w:lang w:val="vi-VN"/>
        </w:rPr>
        <w:t>giáo dục mầm non</w:t>
      </w:r>
      <w:r w:rsidRPr="00741E32">
        <w:rPr>
          <w:sz w:val="28"/>
          <w:szCs w:val="28"/>
          <w:lang w:val="vi-VN"/>
        </w:rPr>
        <w:t xml:space="preserve"> </w:t>
      </w:r>
      <w:r w:rsidR="00D43BB3" w:rsidRPr="00741E32">
        <w:rPr>
          <w:rFonts w:eastAsia="Georgia"/>
          <w:sz w:val="28"/>
          <w:szCs w:val="28"/>
          <w:lang w:val="vi-VN"/>
        </w:rPr>
        <w:t xml:space="preserve">tại </w:t>
      </w:r>
      <w:r w:rsidR="00D43BB3" w:rsidRPr="00741E32">
        <w:rPr>
          <w:sz w:val="28"/>
          <w:szCs w:val="28"/>
          <w:lang w:val="vi-VN" w:eastAsia="en-US"/>
        </w:rPr>
        <w:t>Quyết định số 2270/QĐ-TTg ngày 14/10/2025 của Thủ tướng Chính phủ phê duyệt Chương trình “Nâng cao chất lượng giáo dục mầm non ở địa bàn đô thị, khu công nghiệp giai đoạn 2025–2035, định hướng đến năm 2045”</w:t>
      </w:r>
      <w:r w:rsidR="000953BC" w:rsidRPr="00741E32">
        <w:rPr>
          <w:sz w:val="28"/>
          <w:szCs w:val="28"/>
          <w:lang w:val="vi-VN" w:eastAsia="en-US"/>
        </w:rPr>
        <w:t xml:space="preserve">. </w:t>
      </w:r>
      <w:r w:rsidR="000953BC" w:rsidRPr="00741E32">
        <w:rPr>
          <w:sz w:val="28"/>
          <w:szCs w:val="28"/>
          <w:lang w:val="vi-VN"/>
        </w:rPr>
        <w:t>Mức 960.000 đồng tương đương với mức hỗ trợ dành cho giáo viên công lập thực hiện nhiệm vụ phổ cập giáo dục mầm non trẻ cho từ 3 - 5 tuổi theo Nghị định 277/2025/NĐ</w:t>
      </w:r>
      <w:r w:rsidR="000953BC" w:rsidRPr="00741E32">
        <w:rPr>
          <w:sz w:val="28"/>
          <w:szCs w:val="28"/>
          <w:lang w:val="vi-VN"/>
        </w:rPr>
        <w:noBreakHyphen/>
        <w:t>CP.</w:t>
      </w:r>
    </w:p>
    <w:p w14:paraId="21227D98" w14:textId="5E50FEE2" w:rsidR="000953BC" w:rsidRPr="00741E32" w:rsidRDefault="00A45B15" w:rsidP="000953BC">
      <w:pPr>
        <w:spacing w:before="80"/>
        <w:ind w:firstLine="720"/>
        <w:jc w:val="both"/>
        <w:rPr>
          <w:sz w:val="28"/>
          <w:szCs w:val="28"/>
          <w:lang w:val="vi-VN"/>
        </w:rPr>
      </w:pPr>
      <w:r w:rsidRPr="00741E32">
        <w:rPr>
          <w:rStyle w:val="ng-star-inserted"/>
          <w:sz w:val="28"/>
          <w:szCs w:val="28"/>
          <w:lang w:val="vi-VN"/>
        </w:rPr>
        <w:t xml:space="preserve">- </w:t>
      </w:r>
      <w:r w:rsidR="008D04D9" w:rsidRPr="00741E32">
        <w:rPr>
          <w:sz w:val="28"/>
          <w:szCs w:val="28"/>
          <w:lang w:val="vi-VN"/>
        </w:rPr>
        <w:t xml:space="preserve">Đảm bảo công bằng </w:t>
      </w:r>
      <w:r w:rsidR="000953BC" w:rsidRPr="00741E32">
        <w:rPr>
          <w:sz w:val="28"/>
          <w:szCs w:val="28"/>
          <w:lang w:val="vi-VN"/>
        </w:rPr>
        <w:t xml:space="preserve">tương đối giữa giáo viên công lập và giáo viên ngoài công lập, nhất là trong bối cảnh giáo viên ngoài công lập tại khu công nghiệp đang thực hiện khối lượng công việc lớn, chăm sóc trẻ mầm non có cường độ cao. </w:t>
      </w:r>
    </w:p>
    <w:p w14:paraId="26249D72" w14:textId="01D22FDA" w:rsidR="008D04D9" w:rsidRPr="00741E32" w:rsidRDefault="000953BC" w:rsidP="00A24779">
      <w:pPr>
        <w:spacing w:before="80"/>
        <w:ind w:firstLine="720"/>
        <w:jc w:val="both"/>
        <w:rPr>
          <w:rStyle w:val="ng-star-inserted"/>
          <w:sz w:val="28"/>
          <w:szCs w:val="28"/>
          <w:lang w:val="vi-VN"/>
        </w:rPr>
      </w:pPr>
      <w:r w:rsidRPr="00741E32">
        <w:rPr>
          <w:sz w:val="28"/>
          <w:szCs w:val="28"/>
          <w:lang w:val="vi-VN"/>
        </w:rPr>
        <w:lastRenderedPageBreak/>
        <w:t xml:space="preserve">- Đảm bảo sự hài hòa giữa chính sách trung ương </w:t>
      </w:r>
      <w:r w:rsidRPr="00741E32">
        <w:rPr>
          <w:i/>
          <w:iCs/>
          <w:sz w:val="28"/>
          <w:szCs w:val="28"/>
          <w:lang w:val="vi-VN"/>
        </w:rPr>
        <w:t>(Nghị định 105/NĐ-CP, Nghị định 277/NĐ-CP)</w:t>
      </w:r>
      <w:r w:rsidRPr="00741E32">
        <w:rPr>
          <w:sz w:val="28"/>
          <w:szCs w:val="28"/>
          <w:lang w:val="vi-VN"/>
        </w:rPr>
        <w:t xml:space="preserve"> và chính sách cấp tỉnh, tránh chênh lệch lớn trong cùng hệ thống giáo dục mầm non. </w:t>
      </w:r>
      <w:r w:rsidR="007F29A9" w:rsidRPr="00741E32">
        <w:rPr>
          <w:sz w:val="28"/>
          <w:szCs w:val="28"/>
          <w:lang w:val="vi-VN"/>
        </w:rPr>
        <w:t>C</w:t>
      </w:r>
      <w:r w:rsidR="008D04D9" w:rsidRPr="00741E32">
        <w:rPr>
          <w:sz w:val="28"/>
          <w:szCs w:val="28"/>
          <w:lang w:val="vi-VN"/>
        </w:rPr>
        <w:t xml:space="preserve">hính sách góp phần </w:t>
      </w:r>
      <w:r w:rsidR="008D04D9" w:rsidRPr="00741E32">
        <w:rPr>
          <w:rStyle w:val="ng-star-inserted"/>
          <w:sz w:val="28"/>
          <w:szCs w:val="28"/>
          <w:lang w:val="vi-VN"/>
        </w:rPr>
        <w:t xml:space="preserve">tạo động lực để giáo viên làm việc tại cơ sở giáo dục mầm non </w:t>
      </w:r>
      <w:r w:rsidR="000C4B89" w:rsidRPr="00741E32">
        <w:rPr>
          <w:rStyle w:val="ng-star-inserted"/>
          <w:sz w:val="28"/>
          <w:szCs w:val="28"/>
          <w:lang w:val="vi-VN"/>
        </w:rPr>
        <w:t>ngoài công lập</w:t>
      </w:r>
      <w:r w:rsidR="008D04D9" w:rsidRPr="00741E32">
        <w:rPr>
          <w:rStyle w:val="ng-star-inserted"/>
          <w:sz w:val="28"/>
          <w:szCs w:val="28"/>
          <w:lang w:val="vi-VN"/>
        </w:rPr>
        <w:t xml:space="preserve"> ở địa bàn có khu công nghiệp</w:t>
      </w:r>
      <w:r w:rsidR="007F29A9" w:rsidRPr="00741E32">
        <w:rPr>
          <w:rStyle w:val="ng-star-inserted"/>
          <w:sz w:val="28"/>
          <w:szCs w:val="28"/>
          <w:lang w:val="vi-VN"/>
        </w:rPr>
        <w:t xml:space="preserve">, </w:t>
      </w:r>
      <w:r w:rsidRPr="00741E32">
        <w:rPr>
          <w:sz w:val="28"/>
          <w:szCs w:val="28"/>
          <w:lang w:val="vi-VN"/>
        </w:rPr>
        <w:t xml:space="preserve">giảm tình trạng biến động nhân sự tại các nhóm trẻ độc lập, nơi có tỷ lệ trẻ là con công nhân rất cao, </w:t>
      </w:r>
      <w:r w:rsidR="00647B4D" w:rsidRPr="00741E32">
        <w:rPr>
          <w:rStyle w:val="ng-star-inserted"/>
          <w:sz w:val="28"/>
          <w:szCs w:val="28"/>
          <w:lang w:val="vi-VN"/>
        </w:rPr>
        <w:t>góp phần nâng cao chất lượng giáo dục mầm non trên địa bàn toàn tỉnh.</w:t>
      </w:r>
      <w:r w:rsidRPr="00741E32">
        <w:rPr>
          <w:rStyle w:val="ng-star-inserted"/>
          <w:sz w:val="28"/>
          <w:szCs w:val="28"/>
          <w:lang w:val="vi-VN"/>
        </w:rPr>
        <w:t xml:space="preserve"> </w:t>
      </w:r>
    </w:p>
    <w:p w14:paraId="773DE159" w14:textId="6A8EBF8D" w:rsidR="006F2586" w:rsidRPr="00741E32" w:rsidRDefault="006F2586" w:rsidP="00A24779">
      <w:pPr>
        <w:spacing w:before="80"/>
        <w:ind w:firstLine="720"/>
        <w:jc w:val="both"/>
        <w:rPr>
          <w:i/>
          <w:iCs/>
          <w:sz w:val="28"/>
          <w:szCs w:val="28"/>
          <w:lang w:val="vi-VN"/>
        </w:rPr>
      </w:pPr>
      <w:r w:rsidRPr="00741E32">
        <w:rPr>
          <w:rStyle w:val="ng-star-inserted"/>
          <w:i/>
          <w:iCs/>
          <w:sz w:val="28"/>
          <w:szCs w:val="28"/>
          <w:lang w:val="vi-VN"/>
        </w:rPr>
        <w:t>(Có Phụ lục dự kiến kinh phí thực hiện chính sách cho trẻ em, giáo viên và cơ sở giáo dục mầm non ngoài công lập kèm theo).</w:t>
      </w:r>
    </w:p>
    <w:bookmarkEnd w:id="14"/>
    <w:p w14:paraId="4E9B10A4" w14:textId="77777777" w:rsidR="0050331A" w:rsidRPr="00741E32" w:rsidRDefault="00F07F05" w:rsidP="00A24779">
      <w:pPr>
        <w:pStyle w:val="NormalWeb"/>
        <w:shd w:val="clear" w:color="auto" w:fill="FFFFFF"/>
        <w:spacing w:before="80" w:beforeAutospacing="0" w:after="0" w:afterAutospacing="0"/>
        <w:ind w:firstLine="720"/>
        <w:jc w:val="both"/>
        <w:rPr>
          <w:bCs/>
          <w:sz w:val="28"/>
          <w:szCs w:val="28"/>
          <w:shd w:val="clear" w:color="auto" w:fill="FFFFFF"/>
          <w:lang w:val="sv-SE"/>
        </w:rPr>
      </w:pPr>
      <w:r w:rsidRPr="00741E32">
        <w:rPr>
          <w:bCs/>
          <w:sz w:val="28"/>
          <w:szCs w:val="28"/>
          <w:lang w:val="vi-VN" w:eastAsia="vi-VN"/>
        </w:rPr>
        <w:t xml:space="preserve">Trên đây là báo cáo đánh giá tác động của </w:t>
      </w:r>
      <w:r w:rsidR="00471112" w:rsidRPr="00741E32">
        <w:rPr>
          <w:sz w:val="28"/>
          <w:szCs w:val="28"/>
          <w:shd w:val="clear" w:color="auto" w:fill="FFFFFF"/>
          <w:lang w:val="vi-VN"/>
        </w:rPr>
        <w:t xml:space="preserve">chính sách </w:t>
      </w:r>
      <w:r w:rsidR="0050331A" w:rsidRPr="00741E32">
        <w:rPr>
          <w:bCs/>
          <w:sz w:val="28"/>
          <w:szCs w:val="28"/>
          <w:lang w:val="vi-VN"/>
        </w:rPr>
        <w:t xml:space="preserve">Quy định mức hỗ trợ cho cơ sở giáo dục mầm non độc lập, trẻ em và giáo viên ở cơ sở giáo dục mầm non ngoài công lập trên địa bàn có khu công nghiệp tỉnh </w:t>
      </w:r>
      <w:r w:rsidR="0050331A" w:rsidRPr="00741E32">
        <w:rPr>
          <w:bCs/>
          <w:sz w:val="28"/>
          <w:szCs w:val="28"/>
          <w:shd w:val="clear" w:color="auto" w:fill="FFFFFF"/>
          <w:lang w:val="sv-SE"/>
        </w:rPr>
        <w:t>Quảng Ngãi.</w:t>
      </w:r>
      <w:bookmarkEnd w:id="1"/>
      <w:r w:rsidR="0050331A" w:rsidRPr="00741E32">
        <w:rPr>
          <w:bCs/>
          <w:sz w:val="28"/>
          <w:szCs w:val="28"/>
          <w:shd w:val="clear" w:color="auto" w:fill="FFFFFF"/>
          <w:lang w:val="sv-SE"/>
        </w:rPr>
        <w:t xml:space="preserve"> </w:t>
      </w:r>
    </w:p>
    <w:p w14:paraId="03E209BF" w14:textId="1E661E09" w:rsidR="00471112" w:rsidRPr="00741E32" w:rsidRDefault="00C92DE5" w:rsidP="00A24779">
      <w:pPr>
        <w:pStyle w:val="NormalWeb"/>
        <w:shd w:val="clear" w:color="auto" w:fill="FFFFFF"/>
        <w:spacing w:before="80" w:beforeAutospacing="0" w:after="0" w:afterAutospacing="0"/>
        <w:ind w:firstLine="720"/>
        <w:jc w:val="both"/>
        <w:rPr>
          <w:bCs/>
          <w:sz w:val="28"/>
          <w:szCs w:val="28"/>
          <w:lang w:val="vi-VN"/>
        </w:rPr>
      </w:pPr>
      <w:r w:rsidRPr="00741E32">
        <w:rPr>
          <w:spacing w:val="-6"/>
          <w:position w:val="2"/>
          <w:sz w:val="28"/>
          <w:szCs w:val="28"/>
          <w:lang w:val="vi-VN"/>
        </w:rPr>
        <w:t>Sở Giáo dục và Đào tạo Quảng Ngãi kính báo cáo</w:t>
      </w:r>
      <w:r w:rsidR="00876104" w:rsidRPr="00741E32">
        <w:rPr>
          <w:sz w:val="28"/>
          <w:szCs w:val="28"/>
          <w:lang w:val="vi-VN"/>
        </w:rPr>
        <w:t>.</w:t>
      </w:r>
      <w:r w:rsidR="00DE09F4" w:rsidRPr="00741E32">
        <w:rPr>
          <w:sz w:val="28"/>
          <w:szCs w:val="28"/>
          <w:lang w:val="vi-VN"/>
        </w:rPr>
        <w:t>/.</w:t>
      </w:r>
    </w:p>
    <w:tbl>
      <w:tblPr>
        <w:tblW w:w="9360" w:type="dxa"/>
        <w:tblLook w:val="04A0" w:firstRow="1" w:lastRow="0" w:firstColumn="1" w:lastColumn="0" w:noHBand="0" w:noVBand="1"/>
      </w:tblPr>
      <w:tblGrid>
        <w:gridCol w:w="4028"/>
        <w:gridCol w:w="5332"/>
      </w:tblGrid>
      <w:tr w:rsidR="00C92DE5" w:rsidRPr="00741E32" w14:paraId="717BC492" w14:textId="77777777" w:rsidTr="0050331A">
        <w:tc>
          <w:tcPr>
            <w:tcW w:w="4028" w:type="dxa"/>
          </w:tcPr>
          <w:p w14:paraId="3FA5E904" w14:textId="77777777" w:rsidR="00C92DE5" w:rsidRPr="00741E32" w:rsidRDefault="00C92DE5" w:rsidP="009829F0">
            <w:pPr>
              <w:jc w:val="both"/>
              <w:rPr>
                <w:b/>
                <w:i/>
                <w:lang w:val="nl-NL"/>
              </w:rPr>
            </w:pPr>
            <w:r w:rsidRPr="00741E32">
              <w:rPr>
                <w:b/>
                <w:i/>
                <w:lang w:val="nl-NL"/>
              </w:rPr>
              <w:t>Nơi nhận:</w:t>
            </w:r>
          </w:p>
          <w:p w14:paraId="104A7441" w14:textId="71488EAF" w:rsidR="00390BEE" w:rsidRDefault="00390BEE" w:rsidP="009829F0">
            <w:pPr>
              <w:jc w:val="both"/>
              <w:rPr>
                <w:sz w:val="20"/>
                <w:szCs w:val="20"/>
                <w:lang w:val="nl-NL"/>
              </w:rPr>
            </w:pPr>
            <w:r>
              <w:rPr>
                <w:sz w:val="20"/>
                <w:szCs w:val="20"/>
                <w:lang w:val="nl-NL"/>
              </w:rPr>
              <w:t>- Hội đồng nhân dân tỉnh (báo cáo);</w:t>
            </w:r>
          </w:p>
          <w:p w14:paraId="3A8C8076" w14:textId="77777777" w:rsidR="00390BEE" w:rsidRDefault="00C92DE5" w:rsidP="009829F0">
            <w:pPr>
              <w:jc w:val="both"/>
              <w:rPr>
                <w:sz w:val="20"/>
                <w:szCs w:val="20"/>
                <w:lang w:val="nl-NL"/>
              </w:rPr>
            </w:pPr>
            <w:r w:rsidRPr="00741E32">
              <w:rPr>
                <w:sz w:val="20"/>
                <w:szCs w:val="20"/>
                <w:lang w:val="nl-NL"/>
              </w:rPr>
              <w:t>- UBND tỉnh</w:t>
            </w:r>
            <w:r w:rsidR="00CB1F3E" w:rsidRPr="00741E32">
              <w:rPr>
                <w:sz w:val="20"/>
                <w:szCs w:val="20"/>
                <w:lang w:val="nl-NL"/>
              </w:rPr>
              <w:t xml:space="preserve"> (</w:t>
            </w:r>
            <w:r w:rsidR="00390BEE">
              <w:rPr>
                <w:sz w:val="20"/>
                <w:szCs w:val="20"/>
                <w:lang w:val="nl-NL"/>
              </w:rPr>
              <w:t>b</w:t>
            </w:r>
            <w:r w:rsidR="00CB1F3E" w:rsidRPr="00741E32">
              <w:rPr>
                <w:sz w:val="20"/>
                <w:szCs w:val="20"/>
                <w:lang w:val="nl-NL"/>
              </w:rPr>
              <w:t>áo</w:t>
            </w:r>
            <w:r w:rsidR="0050331A" w:rsidRPr="00741E32">
              <w:rPr>
                <w:sz w:val="20"/>
                <w:szCs w:val="20"/>
                <w:lang w:val="nl-NL"/>
              </w:rPr>
              <w:t xml:space="preserve"> cáo</w:t>
            </w:r>
            <w:r w:rsidR="00CB1F3E" w:rsidRPr="00741E32">
              <w:rPr>
                <w:sz w:val="20"/>
                <w:szCs w:val="20"/>
                <w:lang w:val="nl-NL"/>
              </w:rPr>
              <w:t>)</w:t>
            </w:r>
            <w:r w:rsidRPr="00741E32">
              <w:rPr>
                <w:sz w:val="20"/>
                <w:szCs w:val="20"/>
                <w:lang w:val="nl-NL"/>
              </w:rPr>
              <w:t>;</w:t>
            </w:r>
          </w:p>
          <w:p w14:paraId="07D2D3AA" w14:textId="3DED5551" w:rsidR="00C92DE5" w:rsidRPr="00741E32" w:rsidRDefault="00390BEE" w:rsidP="009829F0">
            <w:pPr>
              <w:jc w:val="both"/>
              <w:rPr>
                <w:sz w:val="20"/>
                <w:szCs w:val="20"/>
                <w:lang w:val="nl-NL"/>
              </w:rPr>
            </w:pPr>
            <w:r>
              <w:rPr>
                <w:sz w:val="20"/>
                <w:szCs w:val="20"/>
                <w:lang w:val="nl-NL"/>
              </w:rPr>
              <w:t xml:space="preserve">- Sở Tư pháp </w:t>
            </w:r>
            <w:r w:rsidR="006075CD">
              <w:rPr>
                <w:sz w:val="20"/>
                <w:szCs w:val="20"/>
                <w:lang w:val="nl-NL"/>
              </w:rPr>
              <w:t>(báo cáo)</w:t>
            </w:r>
            <w:r>
              <w:rPr>
                <w:sz w:val="20"/>
                <w:szCs w:val="20"/>
                <w:lang w:val="nl-NL"/>
              </w:rPr>
              <w:t>;</w:t>
            </w:r>
            <w:r w:rsidR="00C92DE5" w:rsidRPr="00741E32">
              <w:rPr>
                <w:sz w:val="20"/>
                <w:szCs w:val="20"/>
                <w:lang w:val="nl-NL"/>
              </w:rPr>
              <w:tab/>
              <w:t xml:space="preserve"> </w:t>
            </w:r>
            <w:r w:rsidR="00C92DE5" w:rsidRPr="00741E32">
              <w:rPr>
                <w:sz w:val="20"/>
                <w:szCs w:val="20"/>
                <w:lang w:val="nl-NL"/>
              </w:rPr>
              <w:tab/>
            </w:r>
          </w:p>
          <w:p w14:paraId="3E0EC433" w14:textId="1100C56E" w:rsidR="00C92DE5" w:rsidRPr="00741E32" w:rsidRDefault="00C92DE5" w:rsidP="009829F0">
            <w:pPr>
              <w:jc w:val="both"/>
              <w:rPr>
                <w:sz w:val="20"/>
                <w:szCs w:val="20"/>
                <w:lang w:val="nl-NL"/>
              </w:rPr>
            </w:pPr>
            <w:r w:rsidRPr="00741E32">
              <w:rPr>
                <w:sz w:val="20"/>
                <w:szCs w:val="20"/>
                <w:lang w:val="nl-NL"/>
              </w:rPr>
              <w:t xml:space="preserve">- </w:t>
            </w:r>
            <w:r w:rsidR="00F42490" w:rsidRPr="00741E32">
              <w:rPr>
                <w:sz w:val="20"/>
                <w:szCs w:val="20"/>
                <w:lang w:val="nl-NL"/>
              </w:rPr>
              <w:t>Giám đốc</w:t>
            </w:r>
            <w:r w:rsidR="00390BEE">
              <w:rPr>
                <w:sz w:val="20"/>
                <w:szCs w:val="20"/>
                <w:lang w:val="nl-NL"/>
              </w:rPr>
              <w:t>, các PGĐ</w:t>
            </w:r>
            <w:r w:rsidR="00CB1F3E" w:rsidRPr="00741E32">
              <w:rPr>
                <w:sz w:val="20"/>
                <w:szCs w:val="20"/>
                <w:lang w:val="nl-NL"/>
              </w:rPr>
              <w:t xml:space="preserve"> Sở</w:t>
            </w:r>
            <w:r w:rsidR="00F42490" w:rsidRPr="00741E32">
              <w:rPr>
                <w:sz w:val="20"/>
                <w:szCs w:val="20"/>
                <w:lang w:val="nl-NL"/>
              </w:rPr>
              <w:t xml:space="preserve"> (</w:t>
            </w:r>
            <w:r w:rsidR="0050331A" w:rsidRPr="00741E32">
              <w:rPr>
                <w:sz w:val="20"/>
                <w:szCs w:val="20"/>
                <w:lang w:val="nl-NL"/>
              </w:rPr>
              <w:t>theo dõi, chỉ đạo</w:t>
            </w:r>
            <w:r w:rsidR="00F42490" w:rsidRPr="00741E32">
              <w:rPr>
                <w:sz w:val="20"/>
                <w:szCs w:val="20"/>
                <w:lang w:val="nl-NL"/>
              </w:rPr>
              <w:t>)</w:t>
            </w:r>
            <w:r w:rsidR="00CB1F3E" w:rsidRPr="00741E32">
              <w:rPr>
                <w:sz w:val="20"/>
                <w:szCs w:val="20"/>
                <w:lang w:val="nl-NL"/>
              </w:rPr>
              <w:t>;</w:t>
            </w:r>
          </w:p>
          <w:p w14:paraId="1DEF3562" w14:textId="6C5695A4" w:rsidR="00C92DE5" w:rsidRPr="00741E32" w:rsidRDefault="00C92DE5" w:rsidP="00471112">
            <w:pPr>
              <w:jc w:val="both"/>
              <w:rPr>
                <w:sz w:val="22"/>
                <w:szCs w:val="22"/>
                <w:lang w:val="vi-VN"/>
              </w:rPr>
            </w:pPr>
            <w:r w:rsidRPr="00741E32">
              <w:rPr>
                <w:sz w:val="22"/>
                <w:szCs w:val="22"/>
                <w:lang w:val="vi-VN"/>
              </w:rPr>
              <w:t xml:space="preserve">- Lưu: VT, </w:t>
            </w:r>
            <w:r w:rsidR="00697331" w:rsidRPr="00741E32">
              <w:rPr>
                <w:sz w:val="22"/>
                <w:szCs w:val="22"/>
                <w:lang w:val="vi-VN"/>
              </w:rPr>
              <w:t xml:space="preserve">VP, </w:t>
            </w:r>
            <w:r w:rsidR="00471112" w:rsidRPr="00741E32">
              <w:rPr>
                <w:sz w:val="22"/>
                <w:szCs w:val="22"/>
                <w:lang w:val="vi-VN"/>
              </w:rPr>
              <w:t>GDMNTH</w:t>
            </w:r>
            <w:r w:rsidR="00244497" w:rsidRPr="00741E32">
              <w:rPr>
                <w:sz w:val="22"/>
                <w:szCs w:val="22"/>
                <w:lang w:val="vi-VN"/>
              </w:rPr>
              <w:t xml:space="preserve"> </w:t>
            </w:r>
            <w:r w:rsidR="00244497" w:rsidRPr="00741E32">
              <w:rPr>
                <w:sz w:val="22"/>
                <w:szCs w:val="22"/>
                <w:vertAlign w:val="subscript"/>
                <w:lang w:val="vi-VN"/>
              </w:rPr>
              <w:t>(NTN)</w:t>
            </w:r>
          </w:p>
        </w:tc>
        <w:tc>
          <w:tcPr>
            <w:tcW w:w="5332" w:type="dxa"/>
          </w:tcPr>
          <w:p w14:paraId="7CDFAEB7" w14:textId="77777777" w:rsidR="00C92DE5" w:rsidRPr="00741E32" w:rsidRDefault="00C92DE5" w:rsidP="009829F0">
            <w:pPr>
              <w:spacing w:before="120" w:after="120"/>
              <w:jc w:val="center"/>
              <w:rPr>
                <w:b/>
                <w:sz w:val="28"/>
                <w:szCs w:val="28"/>
                <w:lang w:val="nl-NL"/>
              </w:rPr>
            </w:pPr>
            <w:r w:rsidRPr="00741E32">
              <w:rPr>
                <w:b/>
                <w:sz w:val="28"/>
                <w:szCs w:val="28"/>
                <w:lang w:val="nl-NL"/>
              </w:rPr>
              <w:t>GIÁM ĐỐC</w:t>
            </w:r>
          </w:p>
          <w:p w14:paraId="2C3E9293" w14:textId="77777777" w:rsidR="002A5030" w:rsidRPr="00741E32" w:rsidRDefault="002A5030" w:rsidP="009829F0">
            <w:pPr>
              <w:spacing w:before="120" w:after="120"/>
              <w:jc w:val="center"/>
              <w:rPr>
                <w:b/>
                <w:sz w:val="28"/>
                <w:szCs w:val="28"/>
                <w:lang w:val="nl-NL"/>
              </w:rPr>
            </w:pPr>
          </w:p>
          <w:p w14:paraId="58B10FE5" w14:textId="77777777" w:rsidR="000953BC" w:rsidRPr="00741E32" w:rsidRDefault="000953BC" w:rsidP="009829F0">
            <w:pPr>
              <w:spacing w:before="120" w:after="120"/>
              <w:jc w:val="center"/>
              <w:rPr>
                <w:b/>
                <w:sz w:val="28"/>
                <w:szCs w:val="28"/>
                <w:lang w:val="nl-NL"/>
              </w:rPr>
            </w:pPr>
          </w:p>
          <w:p w14:paraId="28AF1135" w14:textId="77777777" w:rsidR="00D43BB3" w:rsidRPr="00741E32" w:rsidRDefault="00D43BB3" w:rsidP="009829F0">
            <w:pPr>
              <w:spacing w:before="120" w:after="120"/>
              <w:jc w:val="center"/>
              <w:rPr>
                <w:b/>
                <w:sz w:val="28"/>
                <w:szCs w:val="28"/>
                <w:lang w:val="nl-NL"/>
              </w:rPr>
            </w:pPr>
          </w:p>
          <w:p w14:paraId="773C680C" w14:textId="77777777" w:rsidR="00ED5C3D" w:rsidRPr="00741E32" w:rsidRDefault="00ED5C3D" w:rsidP="009829F0">
            <w:pPr>
              <w:spacing w:before="120" w:after="120"/>
              <w:jc w:val="center"/>
              <w:rPr>
                <w:b/>
                <w:sz w:val="28"/>
                <w:szCs w:val="28"/>
                <w:lang w:val="nl-NL"/>
              </w:rPr>
            </w:pPr>
            <w:r w:rsidRPr="00741E32">
              <w:rPr>
                <w:b/>
                <w:sz w:val="28"/>
                <w:szCs w:val="28"/>
                <w:lang w:val="nl-NL"/>
              </w:rPr>
              <w:t>Nguyễn Ngọc Thái</w:t>
            </w:r>
          </w:p>
          <w:p w14:paraId="637097C8" w14:textId="77777777" w:rsidR="002A5030" w:rsidRPr="00741E32" w:rsidRDefault="002A5030" w:rsidP="009829F0">
            <w:pPr>
              <w:spacing w:before="120" w:after="120"/>
              <w:jc w:val="center"/>
              <w:rPr>
                <w:b/>
                <w:sz w:val="28"/>
                <w:szCs w:val="28"/>
                <w:lang w:val="nl-NL"/>
              </w:rPr>
            </w:pPr>
          </w:p>
        </w:tc>
      </w:tr>
    </w:tbl>
    <w:p w14:paraId="34310AFA" w14:textId="77777777" w:rsidR="00BF221D" w:rsidRPr="00741E32" w:rsidRDefault="00BF221D" w:rsidP="00A83438">
      <w:pPr>
        <w:shd w:val="clear" w:color="auto" w:fill="FFFFFF"/>
        <w:spacing w:after="120" w:line="276" w:lineRule="auto"/>
        <w:jc w:val="both"/>
        <w:rPr>
          <w:lang w:val="nl-NL"/>
        </w:rPr>
      </w:pPr>
    </w:p>
    <w:p w14:paraId="12A92C60" w14:textId="5528571D" w:rsidR="00AA5349" w:rsidRPr="00741E32" w:rsidRDefault="00AA5349">
      <w:pPr>
        <w:spacing w:after="120" w:line="276" w:lineRule="auto"/>
        <w:rPr>
          <w:lang w:val="vi-VN"/>
        </w:rPr>
      </w:pPr>
    </w:p>
    <w:sectPr w:rsidR="00AA5349" w:rsidRPr="00741E32" w:rsidSect="00393438">
      <w:headerReference w:type="default" r:id="rId8"/>
      <w:footerReference w:type="default" r:id="rId9"/>
      <w:pgSz w:w="11906" w:h="16838" w:code="9"/>
      <w:pgMar w:top="1134" w:right="1134" w:bottom="1134" w:left="141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E6B2" w14:textId="77777777" w:rsidR="00E65433" w:rsidRDefault="00E65433" w:rsidP="005D3361">
      <w:r>
        <w:separator/>
      </w:r>
    </w:p>
  </w:endnote>
  <w:endnote w:type="continuationSeparator" w:id="0">
    <w:p w14:paraId="46BC508F" w14:textId="77777777" w:rsidR="00E65433" w:rsidRDefault="00E65433" w:rsidP="005D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ial">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E0AC" w14:textId="77777777" w:rsidR="0086248C" w:rsidRDefault="0086248C">
    <w:pPr>
      <w:pStyle w:val="Footer"/>
      <w:jc w:val="right"/>
    </w:pPr>
  </w:p>
  <w:p w14:paraId="2A700B7D" w14:textId="77777777" w:rsidR="0086248C" w:rsidRDefault="0086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9205" w14:textId="77777777" w:rsidR="00E65433" w:rsidRDefault="00E65433" w:rsidP="005D3361">
      <w:r>
        <w:separator/>
      </w:r>
    </w:p>
  </w:footnote>
  <w:footnote w:type="continuationSeparator" w:id="0">
    <w:p w14:paraId="4E813D0F" w14:textId="77777777" w:rsidR="00E65433" w:rsidRDefault="00E65433" w:rsidP="005D3361">
      <w:r>
        <w:continuationSeparator/>
      </w:r>
    </w:p>
  </w:footnote>
  <w:footnote w:id="1">
    <w:p w14:paraId="4E5A131C" w14:textId="77777777" w:rsidR="00DC60D5" w:rsidRPr="00D43BB3" w:rsidRDefault="00DC60D5" w:rsidP="00DC60D5">
      <w:pPr>
        <w:ind w:firstLine="597"/>
        <w:jc w:val="both"/>
        <w:rPr>
          <w:iCs/>
          <w:sz w:val="22"/>
          <w:szCs w:val="22"/>
          <w:lang w:val="vi-VN"/>
        </w:rPr>
      </w:pPr>
      <w:r w:rsidRPr="00D43BB3">
        <w:rPr>
          <w:rStyle w:val="FootnoteReference"/>
          <w:sz w:val="22"/>
          <w:szCs w:val="22"/>
        </w:rPr>
        <w:footnoteRef/>
      </w:r>
      <w:r w:rsidRPr="00D43BB3">
        <w:rPr>
          <w:sz w:val="22"/>
          <w:szCs w:val="22"/>
        </w:rPr>
        <w:t xml:space="preserve"> </w:t>
      </w:r>
      <w:r w:rsidRPr="00D43BB3">
        <w:rPr>
          <w:sz w:val="22"/>
          <w:szCs w:val="22"/>
          <w:lang w:val="vi-VN"/>
        </w:rPr>
        <w:t xml:space="preserve">Hai Nghị quyết gồm Nghị quyết số 32/2021/NQ-HĐND của HĐND tỉnh Quảng Ngãi và Nghị quyết số 69/2021/NQ-HĐND của HĐND tỉnh Kon Tum đều được ban hành để quy định mức hỗ trợ đối với giáo dục mầm non nhằm cụ thể hóa chính sách của Chính phủ đối với các chính sách đối với trẻ em, giáo viên, cơ sở giáo dục mầm non độc lập được quy định tại </w:t>
      </w:r>
      <w:r w:rsidRPr="00D43BB3">
        <w:rPr>
          <w:iCs/>
          <w:sz w:val="22"/>
          <w:szCs w:val="22"/>
          <w:lang w:val="vi-VN"/>
        </w:rPr>
        <w:t>Nghị định số 105/2020/NĐ-CP.</w:t>
      </w:r>
    </w:p>
    <w:p w14:paraId="709BECCA" w14:textId="77777777" w:rsidR="00DC60D5" w:rsidRPr="00D43BB3" w:rsidRDefault="00DC60D5" w:rsidP="00DC60D5">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B6E4" w14:textId="77777777" w:rsidR="0086248C" w:rsidRDefault="0086248C">
    <w:pPr>
      <w:pStyle w:val="Header"/>
      <w:jc w:val="center"/>
    </w:pPr>
    <w:r>
      <w:fldChar w:fldCharType="begin"/>
    </w:r>
    <w:r>
      <w:instrText xml:space="preserve"> PAGE   \* MERGEFORMAT </w:instrText>
    </w:r>
    <w:r>
      <w:fldChar w:fldCharType="separate"/>
    </w:r>
    <w:r w:rsidR="00A83438">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DEBFE6"/>
    <w:lvl w:ilvl="0">
      <w:start w:val="1"/>
      <w:numFmt w:val="decimal"/>
      <w:pStyle w:val="ListNumber"/>
      <w:lvlText w:val="%1."/>
      <w:lvlJc w:val="left"/>
      <w:pPr>
        <w:tabs>
          <w:tab w:val="num" w:pos="360"/>
        </w:tabs>
        <w:ind w:left="360" w:hanging="360"/>
      </w:pPr>
    </w:lvl>
  </w:abstractNum>
  <w:abstractNum w:abstractNumId="1" w15:restartNumberingAfterBreak="0">
    <w:nsid w:val="002D644D"/>
    <w:multiLevelType w:val="multilevel"/>
    <w:tmpl w:val="517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C2F84"/>
    <w:multiLevelType w:val="multilevel"/>
    <w:tmpl w:val="397A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70AB4"/>
    <w:multiLevelType w:val="multilevel"/>
    <w:tmpl w:val="99E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A537E"/>
    <w:multiLevelType w:val="multilevel"/>
    <w:tmpl w:val="C4C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62491"/>
    <w:multiLevelType w:val="multilevel"/>
    <w:tmpl w:val="2FC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63D6E"/>
    <w:multiLevelType w:val="multilevel"/>
    <w:tmpl w:val="D14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B582E"/>
    <w:multiLevelType w:val="multilevel"/>
    <w:tmpl w:val="315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31ED4"/>
    <w:multiLevelType w:val="multilevel"/>
    <w:tmpl w:val="CA6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E0DF2"/>
    <w:multiLevelType w:val="multilevel"/>
    <w:tmpl w:val="655C0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7655E"/>
    <w:multiLevelType w:val="multilevel"/>
    <w:tmpl w:val="1A18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11A97"/>
    <w:multiLevelType w:val="multilevel"/>
    <w:tmpl w:val="AF34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E72ED"/>
    <w:multiLevelType w:val="multilevel"/>
    <w:tmpl w:val="77C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75656"/>
    <w:multiLevelType w:val="multilevel"/>
    <w:tmpl w:val="EB8A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672965">
    <w:abstractNumId w:val="9"/>
  </w:num>
  <w:num w:numId="2" w16cid:durableId="908657467">
    <w:abstractNumId w:val="1"/>
  </w:num>
  <w:num w:numId="3" w16cid:durableId="216357833">
    <w:abstractNumId w:val="13"/>
  </w:num>
  <w:num w:numId="4" w16cid:durableId="373963986">
    <w:abstractNumId w:val="3"/>
  </w:num>
  <w:num w:numId="5" w16cid:durableId="2141486238">
    <w:abstractNumId w:val="2"/>
  </w:num>
  <w:num w:numId="6" w16cid:durableId="24718300">
    <w:abstractNumId w:val="0"/>
  </w:num>
  <w:num w:numId="7" w16cid:durableId="1224680742">
    <w:abstractNumId w:val="11"/>
  </w:num>
  <w:num w:numId="8" w16cid:durableId="1363744035">
    <w:abstractNumId w:val="12"/>
  </w:num>
  <w:num w:numId="9" w16cid:durableId="1840658092">
    <w:abstractNumId w:val="8"/>
  </w:num>
  <w:num w:numId="10" w16cid:durableId="890848483">
    <w:abstractNumId w:val="6"/>
  </w:num>
  <w:num w:numId="11" w16cid:durableId="184101353">
    <w:abstractNumId w:val="7"/>
  </w:num>
  <w:num w:numId="12" w16cid:durableId="1536039887">
    <w:abstractNumId w:val="5"/>
  </w:num>
  <w:num w:numId="13" w16cid:durableId="504370206">
    <w:abstractNumId w:val="10"/>
  </w:num>
  <w:num w:numId="14" w16cid:durableId="1322588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FC"/>
    <w:rsid w:val="00000D74"/>
    <w:rsid w:val="00015A2E"/>
    <w:rsid w:val="00020F3B"/>
    <w:rsid w:val="00025512"/>
    <w:rsid w:val="00025E12"/>
    <w:rsid w:val="00030CA4"/>
    <w:rsid w:val="00033B8C"/>
    <w:rsid w:val="00035691"/>
    <w:rsid w:val="00036CE5"/>
    <w:rsid w:val="00037649"/>
    <w:rsid w:val="0003793A"/>
    <w:rsid w:val="0004098D"/>
    <w:rsid w:val="00041B71"/>
    <w:rsid w:val="0004796E"/>
    <w:rsid w:val="00053FF7"/>
    <w:rsid w:val="00061457"/>
    <w:rsid w:val="00062647"/>
    <w:rsid w:val="00064770"/>
    <w:rsid w:val="00066ED4"/>
    <w:rsid w:val="00067985"/>
    <w:rsid w:val="00072007"/>
    <w:rsid w:val="000736D3"/>
    <w:rsid w:val="00081B00"/>
    <w:rsid w:val="00082145"/>
    <w:rsid w:val="0008305F"/>
    <w:rsid w:val="000838D1"/>
    <w:rsid w:val="00093FC6"/>
    <w:rsid w:val="00095303"/>
    <w:rsid w:val="000953BC"/>
    <w:rsid w:val="00096C86"/>
    <w:rsid w:val="000A1609"/>
    <w:rsid w:val="000A3DA5"/>
    <w:rsid w:val="000A4413"/>
    <w:rsid w:val="000A7F0F"/>
    <w:rsid w:val="000B4F49"/>
    <w:rsid w:val="000C4B89"/>
    <w:rsid w:val="000C562E"/>
    <w:rsid w:val="000C605D"/>
    <w:rsid w:val="000C79FE"/>
    <w:rsid w:val="000D0F69"/>
    <w:rsid w:val="000D1C37"/>
    <w:rsid w:val="000D1CB0"/>
    <w:rsid w:val="000D5B59"/>
    <w:rsid w:val="000E3AAD"/>
    <w:rsid w:val="000E7BAF"/>
    <w:rsid w:val="000F64F6"/>
    <w:rsid w:val="00101A32"/>
    <w:rsid w:val="00104B98"/>
    <w:rsid w:val="00104FD4"/>
    <w:rsid w:val="001113E3"/>
    <w:rsid w:val="00113345"/>
    <w:rsid w:val="00113CFC"/>
    <w:rsid w:val="00120D6E"/>
    <w:rsid w:val="00125960"/>
    <w:rsid w:val="00126289"/>
    <w:rsid w:val="001263D0"/>
    <w:rsid w:val="001263EF"/>
    <w:rsid w:val="001321DF"/>
    <w:rsid w:val="00134E9E"/>
    <w:rsid w:val="00135DBF"/>
    <w:rsid w:val="0014159C"/>
    <w:rsid w:val="0014183F"/>
    <w:rsid w:val="00141DF6"/>
    <w:rsid w:val="001425AD"/>
    <w:rsid w:val="00142B66"/>
    <w:rsid w:val="001507C6"/>
    <w:rsid w:val="001518C9"/>
    <w:rsid w:val="00152C2C"/>
    <w:rsid w:val="00153707"/>
    <w:rsid w:val="00155112"/>
    <w:rsid w:val="001578BA"/>
    <w:rsid w:val="0016023E"/>
    <w:rsid w:val="00162C0E"/>
    <w:rsid w:val="00162E90"/>
    <w:rsid w:val="00164C71"/>
    <w:rsid w:val="00165162"/>
    <w:rsid w:val="0016546C"/>
    <w:rsid w:val="00166F15"/>
    <w:rsid w:val="00171A5B"/>
    <w:rsid w:val="001722C4"/>
    <w:rsid w:val="00173D0E"/>
    <w:rsid w:val="0017589E"/>
    <w:rsid w:val="001758F9"/>
    <w:rsid w:val="00175FDC"/>
    <w:rsid w:val="00176EEB"/>
    <w:rsid w:val="00180AD2"/>
    <w:rsid w:val="00181027"/>
    <w:rsid w:val="00181E06"/>
    <w:rsid w:val="001845A9"/>
    <w:rsid w:val="00190029"/>
    <w:rsid w:val="00191831"/>
    <w:rsid w:val="001A0E57"/>
    <w:rsid w:val="001A1049"/>
    <w:rsid w:val="001A2084"/>
    <w:rsid w:val="001A3012"/>
    <w:rsid w:val="001B00C4"/>
    <w:rsid w:val="001B015A"/>
    <w:rsid w:val="001B15F6"/>
    <w:rsid w:val="001B3A5A"/>
    <w:rsid w:val="001B6526"/>
    <w:rsid w:val="001C43DF"/>
    <w:rsid w:val="001C584D"/>
    <w:rsid w:val="001D1BB4"/>
    <w:rsid w:val="001D49D0"/>
    <w:rsid w:val="001D74FC"/>
    <w:rsid w:val="001E3ECA"/>
    <w:rsid w:val="001E548C"/>
    <w:rsid w:val="001E7A9E"/>
    <w:rsid w:val="001F26B3"/>
    <w:rsid w:val="001F6B05"/>
    <w:rsid w:val="00203DD2"/>
    <w:rsid w:val="002117CF"/>
    <w:rsid w:val="00211C2A"/>
    <w:rsid w:val="00213B54"/>
    <w:rsid w:val="00215829"/>
    <w:rsid w:val="002213B6"/>
    <w:rsid w:val="00224E18"/>
    <w:rsid w:val="00225C1B"/>
    <w:rsid w:val="00234108"/>
    <w:rsid w:val="0023431C"/>
    <w:rsid w:val="00237D72"/>
    <w:rsid w:val="00242A50"/>
    <w:rsid w:val="00244497"/>
    <w:rsid w:val="00244BEE"/>
    <w:rsid w:val="0024565D"/>
    <w:rsid w:val="00246F5C"/>
    <w:rsid w:val="00247DB8"/>
    <w:rsid w:val="00250B54"/>
    <w:rsid w:val="0025196D"/>
    <w:rsid w:val="002542F8"/>
    <w:rsid w:val="00257677"/>
    <w:rsid w:val="00267406"/>
    <w:rsid w:val="00270621"/>
    <w:rsid w:val="00270E03"/>
    <w:rsid w:val="00271864"/>
    <w:rsid w:val="00273F93"/>
    <w:rsid w:val="00274D99"/>
    <w:rsid w:val="00277673"/>
    <w:rsid w:val="002811C8"/>
    <w:rsid w:val="002850CD"/>
    <w:rsid w:val="002854F8"/>
    <w:rsid w:val="0029025A"/>
    <w:rsid w:val="002A083D"/>
    <w:rsid w:val="002A0A5C"/>
    <w:rsid w:val="002A152B"/>
    <w:rsid w:val="002A2E69"/>
    <w:rsid w:val="002A2E6F"/>
    <w:rsid w:val="002A5030"/>
    <w:rsid w:val="002B01C8"/>
    <w:rsid w:val="002B0EA5"/>
    <w:rsid w:val="002B18C4"/>
    <w:rsid w:val="002B1CD0"/>
    <w:rsid w:val="002B1F39"/>
    <w:rsid w:val="002B3C01"/>
    <w:rsid w:val="002B47ED"/>
    <w:rsid w:val="002B4D5D"/>
    <w:rsid w:val="002B517B"/>
    <w:rsid w:val="002B73E1"/>
    <w:rsid w:val="002B7B2B"/>
    <w:rsid w:val="002C2232"/>
    <w:rsid w:val="002C2E28"/>
    <w:rsid w:val="002D0452"/>
    <w:rsid w:val="002D0608"/>
    <w:rsid w:val="002D6CB1"/>
    <w:rsid w:val="002E0C29"/>
    <w:rsid w:val="002E0F66"/>
    <w:rsid w:val="002E5FE2"/>
    <w:rsid w:val="002F4009"/>
    <w:rsid w:val="00300F46"/>
    <w:rsid w:val="00301114"/>
    <w:rsid w:val="00301286"/>
    <w:rsid w:val="00304EF3"/>
    <w:rsid w:val="00305693"/>
    <w:rsid w:val="003079A5"/>
    <w:rsid w:val="00314880"/>
    <w:rsid w:val="003213A9"/>
    <w:rsid w:val="003233CF"/>
    <w:rsid w:val="003238A4"/>
    <w:rsid w:val="00325EC2"/>
    <w:rsid w:val="0033366B"/>
    <w:rsid w:val="003337B5"/>
    <w:rsid w:val="003410A8"/>
    <w:rsid w:val="00343F03"/>
    <w:rsid w:val="00344BE8"/>
    <w:rsid w:val="003457C0"/>
    <w:rsid w:val="003457D8"/>
    <w:rsid w:val="00347739"/>
    <w:rsid w:val="00347F21"/>
    <w:rsid w:val="00352B9F"/>
    <w:rsid w:val="003567F3"/>
    <w:rsid w:val="0035719E"/>
    <w:rsid w:val="00357598"/>
    <w:rsid w:val="003577F3"/>
    <w:rsid w:val="003604DD"/>
    <w:rsid w:val="003610E1"/>
    <w:rsid w:val="003646FD"/>
    <w:rsid w:val="00365212"/>
    <w:rsid w:val="00365286"/>
    <w:rsid w:val="00367689"/>
    <w:rsid w:val="003776E0"/>
    <w:rsid w:val="00377BFD"/>
    <w:rsid w:val="00385866"/>
    <w:rsid w:val="00387859"/>
    <w:rsid w:val="00390BEE"/>
    <w:rsid w:val="00391959"/>
    <w:rsid w:val="00391D52"/>
    <w:rsid w:val="00391D97"/>
    <w:rsid w:val="00392FD6"/>
    <w:rsid w:val="00393438"/>
    <w:rsid w:val="003974C3"/>
    <w:rsid w:val="003A0691"/>
    <w:rsid w:val="003A280C"/>
    <w:rsid w:val="003B1AF0"/>
    <w:rsid w:val="003B1D04"/>
    <w:rsid w:val="003B51D7"/>
    <w:rsid w:val="003B5C34"/>
    <w:rsid w:val="003C286D"/>
    <w:rsid w:val="003C50CB"/>
    <w:rsid w:val="003D6D10"/>
    <w:rsid w:val="003D6D63"/>
    <w:rsid w:val="003D7EF0"/>
    <w:rsid w:val="003E0EEF"/>
    <w:rsid w:val="003E32E3"/>
    <w:rsid w:val="003E382F"/>
    <w:rsid w:val="003E43B3"/>
    <w:rsid w:val="003E5B67"/>
    <w:rsid w:val="003E6187"/>
    <w:rsid w:val="003F1F78"/>
    <w:rsid w:val="003F56BC"/>
    <w:rsid w:val="003F7469"/>
    <w:rsid w:val="0040141C"/>
    <w:rsid w:val="004023FC"/>
    <w:rsid w:val="00406E8D"/>
    <w:rsid w:val="00410D29"/>
    <w:rsid w:val="0041370B"/>
    <w:rsid w:val="004209FC"/>
    <w:rsid w:val="0042192F"/>
    <w:rsid w:val="00426873"/>
    <w:rsid w:val="00431AC5"/>
    <w:rsid w:val="00432D8A"/>
    <w:rsid w:val="00436F5E"/>
    <w:rsid w:val="00443534"/>
    <w:rsid w:val="004464F0"/>
    <w:rsid w:val="004469DD"/>
    <w:rsid w:val="004535C1"/>
    <w:rsid w:val="00453DAC"/>
    <w:rsid w:val="00454B77"/>
    <w:rsid w:val="00457A90"/>
    <w:rsid w:val="00471112"/>
    <w:rsid w:val="004716C9"/>
    <w:rsid w:val="00471A3B"/>
    <w:rsid w:val="00473FA5"/>
    <w:rsid w:val="00475252"/>
    <w:rsid w:val="00476917"/>
    <w:rsid w:val="0048124B"/>
    <w:rsid w:val="00482337"/>
    <w:rsid w:val="00482DB5"/>
    <w:rsid w:val="00484403"/>
    <w:rsid w:val="00484E6F"/>
    <w:rsid w:val="00486340"/>
    <w:rsid w:val="00487777"/>
    <w:rsid w:val="00495B40"/>
    <w:rsid w:val="00497FAF"/>
    <w:rsid w:val="004A1FEB"/>
    <w:rsid w:val="004A3EDA"/>
    <w:rsid w:val="004B200C"/>
    <w:rsid w:val="004B227B"/>
    <w:rsid w:val="004B7736"/>
    <w:rsid w:val="004C0E4A"/>
    <w:rsid w:val="004C1FDF"/>
    <w:rsid w:val="004C2094"/>
    <w:rsid w:val="004C33FB"/>
    <w:rsid w:val="004D4BF4"/>
    <w:rsid w:val="004D63F4"/>
    <w:rsid w:val="004E2C2A"/>
    <w:rsid w:val="004E3583"/>
    <w:rsid w:val="004E7349"/>
    <w:rsid w:val="004F03B1"/>
    <w:rsid w:val="004F335E"/>
    <w:rsid w:val="004F7529"/>
    <w:rsid w:val="0050331A"/>
    <w:rsid w:val="005046D1"/>
    <w:rsid w:val="005049A7"/>
    <w:rsid w:val="00505FBE"/>
    <w:rsid w:val="00506506"/>
    <w:rsid w:val="00506782"/>
    <w:rsid w:val="00506EC1"/>
    <w:rsid w:val="00512685"/>
    <w:rsid w:val="00513246"/>
    <w:rsid w:val="00513BCE"/>
    <w:rsid w:val="00515CE6"/>
    <w:rsid w:val="00516F25"/>
    <w:rsid w:val="005227CC"/>
    <w:rsid w:val="00525353"/>
    <w:rsid w:val="00530875"/>
    <w:rsid w:val="0053222E"/>
    <w:rsid w:val="005322FB"/>
    <w:rsid w:val="00534D13"/>
    <w:rsid w:val="005353D0"/>
    <w:rsid w:val="00537807"/>
    <w:rsid w:val="00541640"/>
    <w:rsid w:val="005417D5"/>
    <w:rsid w:val="005464B7"/>
    <w:rsid w:val="005471DD"/>
    <w:rsid w:val="00550838"/>
    <w:rsid w:val="005601EA"/>
    <w:rsid w:val="00561133"/>
    <w:rsid w:val="00561DDD"/>
    <w:rsid w:val="00564EA4"/>
    <w:rsid w:val="00566C9A"/>
    <w:rsid w:val="00567331"/>
    <w:rsid w:val="0057202E"/>
    <w:rsid w:val="0058493F"/>
    <w:rsid w:val="00591C73"/>
    <w:rsid w:val="00592168"/>
    <w:rsid w:val="005924AD"/>
    <w:rsid w:val="005930FE"/>
    <w:rsid w:val="00595CA4"/>
    <w:rsid w:val="00596517"/>
    <w:rsid w:val="00596DC3"/>
    <w:rsid w:val="005970DF"/>
    <w:rsid w:val="005A3612"/>
    <w:rsid w:val="005A676F"/>
    <w:rsid w:val="005B21BA"/>
    <w:rsid w:val="005B314D"/>
    <w:rsid w:val="005B349C"/>
    <w:rsid w:val="005B41BA"/>
    <w:rsid w:val="005B63B8"/>
    <w:rsid w:val="005B68C8"/>
    <w:rsid w:val="005B69AC"/>
    <w:rsid w:val="005C05B9"/>
    <w:rsid w:val="005C3F28"/>
    <w:rsid w:val="005D0612"/>
    <w:rsid w:val="005D08F0"/>
    <w:rsid w:val="005D25C8"/>
    <w:rsid w:val="005D2D26"/>
    <w:rsid w:val="005D3361"/>
    <w:rsid w:val="005D38C9"/>
    <w:rsid w:val="005D3B7E"/>
    <w:rsid w:val="005E02F2"/>
    <w:rsid w:val="005E1043"/>
    <w:rsid w:val="005E1E5F"/>
    <w:rsid w:val="005E311C"/>
    <w:rsid w:val="005E4B73"/>
    <w:rsid w:val="005F0962"/>
    <w:rsid w:val="005F3347"/>
    <w:rsid w:val="006016FA"/>
    <w:rsid w:val="006023FD"/>
    <w:rsid w:val="00603BCC"/>
    <w:rsid w:val="006075CD"/>
    <w:rsid w:val="00614B41"/>
    <w:rsid w:val="00623C34"/>
    <w:rsid w:val="0062539B"/>
    <w:rsid w:val="00626CC5"/>
    <w:rsid w:val="00634449"/>
    <w:rsid w:val="00635DAB"/>
    <w:rsid w:val="006377DE"/>
    <w:rsid w:val="006414A6"/>
    <w:rsid w:val="00642679"/>
    <w:rsid w:val="006443C2"/>
    <w:rsid w:val="00647028"/>
    <w:rsid w:val="00647B4D"/>
    <w:rsid w:val="00652899"/>
    <w:rsid w:val="00654059"/>
    <w:rsid w:val="00662BB2"/>
    <w:rsid w:val="006667B9"/>
    <w:rsid w:val="00672797"/>
    <w:rsid w:val="00672DA6"/>
    <w:rsid w:val="00674450"/>
    <w:rsid w:val="006765ED"/>
    <w:rsid w:val="0068549D"/>
    <w:rsid w:val="006854A4"/>
    <w:rsid w:val="00687C10"/>
    <w:rsid w:val="00690155"/>
    <w:rsid w:val="00693C7B"/>
    <w:rsid w:val="00696216"/>
    <w:rsid w:val="00697331"/>
    <w:rsid w:val="006A3237"/>
    <w:rsid w:val="006A324D"/>
    <w:rsid w:val="006A3872"/>
    <w:rsid w:val="006A6732"/>
    <w:rsid w:val="006B6883"/>
    <w:rsid w:val="006C13F4"/>
    <w:rsid w:val="006C2C64"/>
    <w:rsid w:val="006C3853"/>
    <w:rsid w:val="006C43B7"/>
    <w:rsid w:val="006C6090"/>
    <w:rsid w:val="006D04A6"/>
    <w:rsid w:val="006D12CF"/>
    <w:rsid w:val="006D3319"/>
    <w:rsid w:val="006D42A9"/>
    <w:rsid w:val="006D4B07"/>
    <w:rsid w:val="006F13DF"/>
    <w:rsid w:val="006F14A9"/>
    <w:rsid w:val="006F2586"/>
    <w:rsid w:val="006F5941"/>
    <w:rsid w:val="006F5ABB"/>
    <w:rsid w:val="006F75AC"/>
    <w:rsid w:val="00702DDA"/>
    <w:rsid w:val="00704AE2"/>
    <w:rsid w:val="00704FF2"/>
    <w:rsid w:val="00707519"/>
    <w:rsid w:val="00707B30"/>
    <w:rsid w:val="00711B2D"/>
    <w:rsid w:val="007156FF"/>
    <w:rsid w:val="00716BF4"/>
    <w:rsid w:val="007207C9"/>
    <w:rsid w:val="0072181A"/>
    <w:rsid w:val="007240F6"/>
    <w:rsid w:val="00724203"/>
    <w:rsid w:val="00725B39"/>
    <w:rsid w:val="007323CC"/>
    <w:rsid w:val="007340B6"/>
    <w:rsid w:val="00735814"/>
    <w:rsid w:val="007372A7"/>
    <w:rsid w:val="007407E0"/>
    <w:rsid w:val="0074159E"/>
    <w:rsid w:val="00741E32"/>
    <w:rsid w:val="00743531"/>
    <w:rsid w:val="00746754"/>
    <w:rsid w:val="007504AE"/>
    <w:rsid w:val="0075112A"/>
    <w:rsid w:val="007515DE"/>
    <w:rsid w:val="007532D8"/>
    <w:rsid w:val="00760DBE"/>
    <w:rsid w:val="00762296"/>
    <w:rsid w:val="00763FE7"/>
    <w:rsid w:val="00764954"/>
    <w:rsid w:val="00771580"/>
    <w:rsid w:val="007719B7"/>
    <w:rsid w:val="007814E8"/>
    <w:rsid w:val="007819C3"/>
    <w:rsid w:val="00782BF9"/>
    <w:rsid w:val="00792EBF"/>
    <w:rsid w:val="0079391B"/>
    <w:rsid w:val="007A0201"/>
    <w:rsid w:val="007A0794"/>
    <w:rsid w:val="007A0E65"/>
    <w:rsid w:val="007B1303"/>
    <w:rsid w:val="007B189A"/>
    <w:rsid w:val="007B21D9"/>
    <w:rsid w:val="007B4AA8"/>
    <w:rsid w:val="007B6E9A"/>
    <w:rsid w:val="007B6F26"/>
    <w:rsid w:val="007C0516"/>
    <w:rsid w:val="007C228D"/>
    <w:rsid w:val="007C2DED"/>
    <w:rsid w:val="007C55DB"/>
    <w:rsid w:val="007D1E23"/>
    <w:rsid w:val="007D2868"/>
    <w:rsid w:val="007D7993"/>
    <w:rsid w:val="007D7AB8"/>
    <w:rsid w:val="007E13CD"/>
    <w:rsid w:val="007E1A07"/>
    <w:rsid w:val="007E6A12"/>
    <w:rsid w:val="007F048F"/>
    <w:rsid w:val="007F17FB"/>
    <w:rsid w:val="007F29A9"/>
    <w:rsid w:val="007F30FF"/>
    <w:rsid w:val="00807421"/>
    <w:rsid w:val="008140F3"/>
    <w:rsid w:val="008169FA"/>
    <w:rsid w:val="00820796"/>
    <w:rsid w:val="00824AB9"/>
    <w:rsid w:val="00830B24"/>
    <w:rsid w:val="0083612E"/>
    <w:rsid w:val="00837091"/>
    <w:rsid w:val="00840157"/>
    <w:rsid w:val="008421C5"/>
    <w:rsid w:val="00844224"/>
    <w:rsid w:val="00846D29"/>
    <w:rsid w:val="0085019D"/>
    <w:rsid w:val="00850A70"/>
    <w:rsid w:val="008521F2"/>
    <w:rsid w:val="00855FFD"/>
    <w:rsid w:val="0086248C"/>
    <w:rsid w:val="008652D0"/>
    <w:rsid w:val="00866847"/>
    <w:rsid w:val="00876104"/>
    <w:rsid w:val="00877F37"/>
    <w:rsid w:val="00881774"/>
    <w:rsid w:val="00897813"/>
    <w:rsid w:val="008A1809"/>
    <w:rsid w:val="008A18A4"/>
    <w:rsid w:val="008A5886"/>
    <w:rsid w:val="008B0332"/>
    <w:rsid w:val="008B0613"/>
    <w:rsid w:val="008B08B2"/>
    <w:rsid w:val="008B0F46"/>
    <w:rsid w:val="008B6294"/>
    <w:rsid w:val="008C1051"/>
    <w:rsid w:val="008C214B"/>
    <w:rsid w:val="008C5736"/>
    <w:rsid w:val="008D04D9"/>
    <w:rsid w:val="008D060E"/>
    <w:rsid w:val="008D1FB2"/>
    <w:rsid w:val="008D2E29"/>
    <w:rsid w:val="008E0316"/>
    <w:rsid w:val="008E160E"/>
    <w:rsid w:val="008E7BBD"/>
    <w:rsid w:val="008E7D2E"/>
    <w:rsid w:val="008F19B3"/>
    <w:rsid w:val="008F4787"/>
    <w:rsid w:val="008F507E"/>
    <w:rsid w:val="008F6E54"/>
    <w:rsid w:val="008F7449"/>
    <w:rsid w:val="009004A5"/>
    <w:rsid w:val="00902195"/>
    <w:rsid w:val="009104EF"/>
    <w:rsid w:val="00910928"/>
    <w:rsid w:val="0091108A"/>
    <w:rsid w:val="009133FE"/>
    <w:rsid w:val="00914E31"/>
    <w:rsid w:val="00915B32"/>
    <w:rsid w:val="009238DC"/>
    <w:rsid w:val="00923CB3"/>
    <w:rsid w:val="00923F66"/>
    <w:rsid w:val="0092521C"/>
    <w:rsid w:val="009320EC"/>
    <w:rsid w:val="0093316E"/>
    <w:rsid w:val="00933380"/>
    <w:rsid w:val="00933713"/>
    <w:rsid w:val="009349D4"/>
    <w:rsid w:val="00936580"/>
    <w:rsid w:val="00945401"/>
    <w:rsid w:val="0094768C"/>
    <w:rsid w:val="00953698"/>
    <w:rsid w:val="00954F5A"/>
    <w:rsid w:val="0095559D"/>
    <w:rsid w:val="00961C1A"/>
    <w:rsid w:val="00964BB3"/>
    <w:rsid w:val="00965B60"/>
    <w:rsid w:val="009672A4"/>
    <w:rsid w:val="00970E28"/>
    <w:rsid w:val="00971799"/>
    <w:rsid w:val="0097254B"/>
    <w:rsid w:val="00974529"/>
    <w:rsid w:val="0097594C"/>
    <w:rsid w:val="00977B03"/>
    <w:rsid w:val="00980035"/>
    <w:rsid w:val="0098253A"/>
    <w:rsid w:val="009825B3"/>
    <w:rsid w:val="009829F0"/>
    <w:rsid w:val="009836CF"/>
    <w:rsid w:val="0098695D"/>
    <w:rsid w:val="009A26C3"/>
    <w:rsid w:val="009A2CF5"/>
    <w:rsid w:val="009A3D1E"/>
    <w:rsid w:val="009A429C"/>
    <w:rsid w:val="009A4736"/>
    <w:rsid w:val="009B1C19"/>
    <w:rsid w:val="009B26E0"/>
    <w:rsid w:val="009B38D9"/>
    <w:rsid w:val="009B5C20"/>
    <w:rsid w:val="009B71A0"/>
    <w:rsid w:val="009C1F52"/>
    <w:rsid w:val="009C2ADC"/>
    <w:rsid w:val="009C5F5E"/>
    <w:rsid w:val="009C6216"/>
    <w:rsid w:val="009C6C09"/>
    <w:rsid w:val="009D0848"/>
    <w:rsid w:val="009D2E69"/>
    <w:rsid w:val="009D437C"/>
    <w:rsid w:val="009E3891"/>
    <w:rsid w:val="009E460C"/>
    <w:rsid w:val="009E71D5"/>
    <w:rsid w:val="009F2C8F"/>
    <w:rsid w:val="009F2D42"/>
    <w:rsid w:val="009F6A1C"/>
    <w:rsid w:val="009F6B24"/>
    <w:rsid w:val="00A035C8"/>
    <w:rsid w:val="00A05C6C"/>
    <w:rsid w:val="00A13D24"/>
    <w:rsid w:val="00A1683C"/>
    <w:rsid w:val="00A17AE3"/>
    <w:rsid w:val="00A17DA8"/>
    <w:rsid w:val="00A20834"/>
    <w:rsid w:val="00A2273A"/>
    <w:rsid w:val="00A23468"/>
    <w:rsid w:val="00A24779"/>
    <w:rsid w:val="00A260FB"/>
    <w:rsid w:val="00A306EA"/>
    <w:rsid w:val="00A32C4D"/>
    <w:rsid w:val="00A3416F"/>
    <w:rsid w:val="00A36C19"/>
    <w:rsid w:val="00A45B15"/>
    <w:rsid w:val="00A46057"/>
    <w:rsid w:val="00A53A65"/>
    <w:rsid w:val="00A53A81"/>
    <w:rsid w:val="00A54FB1"/>
    <w:rsid w:val="00A65401"/>
    <w:rsid w:val="00A66910"/>
    <w:rsid w:val="00A67C8C"/>
    <w:rsid w:val="00A7060D"/>
    <w:rsid w:val="00A73690"/>
    <w:rsid w:val="00A807FA"/>
    <w:rsid w:val="00A8178D"/>
    <w:rsid w:val="00A81E23"/>
    <w:rsid w:val="00A83438"/>
    <w:rsid w:val="00A84007"/>
    <w:rsid w:val="00A92C4B"/>
    <w:rsid w:val="00A93E37"/>
    <w:rsid w:val="00AA176E"/>
    <w:rsid w:val="00AA1D01"/>
    <w:rsid w:val="00AA2EAB"/>
    <w:rsid w:val="00AA32A8"/>
    <w:rsid w:val="00AA5349"/>
    <w:rsid w:val="00AB5FAE"/>
    <w:rsid w:val="00AB7F6D"/>
    <w:rsid w:val="00AC33F6"/>
    <w:rsid w:val="00AC494F"/>
    <w:rsid w:val="00AC4A49"/>
    <w:rsid w:val="00AC619D"/>
    <w:rsid w:val="00AD2C14"/>
    <w:rsid w:val="00AD5861"/>
    <w:rsid w:val="00AD7267"/>
    <w:rsid w:val="00AD7573"/>
    <w:rsid w:val="00AE046B"/>
    <w:rsid w:val="00AE37F8"/>
    <w:rsid w:val="00AE5591"/>
    <w:rsid w:val="00AF155C"/>
    <w:rsid w:val="00AF1752"/>
    <w:rsid w:val="00AF23D1"/>
    <w:rsid w:val="00AF3203"/>
    <w:rsid w:val="00B01736"/>
    <w:rsid w:val="00B0695E"/>
    <w:rsid w:val="00B10B4E"/>
    <w:rsid w:val="00B12D62"/>
    <w:rsid w:val="00B142D4"/>
    <w:rsid w:val="00B14A26"/>
    <w:rsid w:val="00B156C3"/>
    <w:rsid w:val="00B16C00"/>
    <w:rsid w:val="00B25502"/>
    <w:rsid w:val="00B27829"/>
    <w:rsid w:val="00B27BEA"/>
    <w:rsid w:val="00B314D3"/>
    <w:rsid w:val="00B32649"/>
    <w:rsid w:val="00B32F97"/>
    <w:rsid w:val="00B362C3"/>
    <w:rsid w:val="00B362E8"/>
    <w:rsid w:val="00B363B3"/>
    <w:rsid w:val="00B3750A"/>
    <w:rsid w:val="00B411CC"/>
    <w:rsid w:val="00B41925"/>
    <w:rsid w:val="00B420C8"/>
    <w:rsid w:val="00B43862"/>
    <w:rsid w:val="00B45C92"/>
    <w:rsid w:val="00B5112C"/>
    <w:rsid w:val="00B52364"/>
    <w:rsid w:val="00B53C59"/>
    <w:rsid w:val="00B54906"/>
    <w:rsid w:val="00B619AD"/>
    <w:rsid w:val="00B61C29"/>
    <w:rsid w:val="00B6616E"/>
    <w:rsid w:val="00B70095"/>
    <w:rsid w:val="00B709A9"/>
    <w:rsid w:val="00B71FCE"/>
    <w:rsid w:val="00B727A1"/>
    <w:rsid w:val="00B74262"/>
    <w:rsid w:val="00B744F7"/>
    <w:rsid w:val="00B76A80"/>
    <w:rsid w:val="00B903BE"/>
    <w:rsid w:val="00B9297C"/>
    <w:rsid w:val="00B95F37"/>
    <w:rsid w:val="00B9604A"/>
    <w:rsid w:val="00BA23AE"/>
    <w:rsid w:val="00BA5412"/>
    <w:rsid w:val="00BA585B"/>
    <w:rsid w:val="00BB069D"/>
    <w:rsid w:val="00BB16A7"/>
    <w:rsid w:val="00BB1745"/>
    <w:rsid w:val="00BB72E8"/>
    <w:rsid w:val="00BC1B5D"/>
    <w:rsid w:val="00BC3C7E"/>
    <w:rsid w:val="00BC42A4"/>
    <w:rsid w:val="00BD0454"/>
    <w:rsid w:val="00BD60A6"/>
    <w:rsid w:val="00BE0727"/>
    <w:rsid w:val="00BE2CCC"/>
    <w:rsid w:val="00BF221D"/>
    <w:rsid w:val="00BF62EF"/>
    <w:rsid w:val="00C00F3A"/>
    <w:rsid w:val="00C025C8"/>
    <w:rsid w:val="00C05DC3"/>
    <w:rsid w:val="00C064D2"/>
    <w:rsid w:val="00C10075"/>
    <w:rsid w:val="00C14B9F"/>
    <w:rsid w:val="00C16013"/>
    <w:rsid w:val="00C168CA"/>
    <w:rsid w:val="00C170BC"/>
    <w:rsid w:val="00C2022B"/>
    <w:rsid w:val="00C217B4"/>
    <w:rsid w:val="00C24276"/>
    <w:rsid w:val="00C30657"/>
    <w:rsid w:val="00C3477C"/>
    <w:rsid w:val="00C36736"/>
    <w:rsid w:val="00C36B13"/>
    <w:rsid w:val="00C44299"/>
    <w:rsid w:val="00C50040"/>
    <w:rsid w:val="00C60597"/>
    <w:rsid w:val="00C6230C"/>
    <w:rsid w:val="00C62AC9"/>
    <w:rsid w:val="00C62E27"/>
    <w:rsid w:val="00C63593"/>
    <w:rsid w:val="00C64444"/>
    <w:rsid w:val="00C65263"/>
    <w:rsid w:val="00C6665C"/>
    <w:rsid w:val="00C66F94"/>
    <w:rsid w:val="00C719E1"/>
    <w:rsid w:val="00C73717"/>
    <w:rsid w:val="00C763FF"/>
    <w:rsid w:val="00C832D7"/>
    <w:rsid w:val="00C855FE"/>
    <w:rsid w:val="00C86AE6"/>
    <w:rsid w:val="00C9071C"/>
    <w:rsid w:val="00C91E28"/>
    <w:rsid w:val="00C92DE5"/>
    <w:rsid w:val="00C93528"/>
    <w:rsid w:val="00C95E73"/>
    <w:rsid w:val="00CA38B2"/>
    <w:rsid w:val="00CB1DF5"/>
    <w:rsid w:val="00CB1F3E"/>
    <w:rsid w:val="00CB438E"/>
    <w:rsid w:val="00CB71B6"/>
    <w:rsid w:val="00CC21DA"/>
    <w:rsid w:val="00CC3318"/>
    <w:rsid w:val="00CC5380"/>
    <w:rsid w:val="00CC5DFF"/>
    <w:rsid w:val="00CC5F8B"/>
    <w:rsid w:val="00CD2CB8"/>
    <w:rsid w:val="00CD7E89"/>
    <w:rsid w:val="00CE09ED"/>
    <w:rsid w:val="00CE290B"/>
    <w:rsid w:val="00CF1C35"/>
    <w:rsid w:val="00CF540B"/>
    <w:rsid w:val="00CF553B"/>
    <w:rsid w:val="00CF5F68"/>
    <w:rsid w:val="00D007C5"/>
    <w:rsid w:val="00D013B3"/>
    <w:rsid w:val="00D01AAB"/>
    <w:rsid w:val="00D02209"/>
    <w:rsid w:val="00D0470E"/>
    <w:rsid w:val="00D04F79"/>
    <w:rsid w:val="00D122A1"/>
    <w:rsid w:val="00D125CE"/>
    <w:rsid w:val="00D12A7C"/>
    <w:rsid w:val="00D14695"/>
    <w:rsid w:val="00D14BE6"/>
    <w:rsid w:val="00D14D46"/>
    <w:rsid w:val="00D20EC0"/>
    <w:rsid w:val="00D21B56"/>
    <w:rsid w:val="00D26F9D"/>
    <w:rsid w:val="00D332CE"/>
    <w:rsid w:val="00D376CF"/>
    <w:rsid w:val="00D419D6"/>
    <w:rsid w:val="00D43453"/>
    <w:rsid w:val="00D43BB3"/>
    <w:rsid w:val="00D43C8B"/>
    <w:rsid w:val="00D45281"/>
    <w:rsid w:val="00D45929"/>
    <w:rsid w:val="00D46069"/>
    <w:rsid w:val="00D46C19"/>
    <w:rsid w:val="00D47385"/>
    <w:rsid w:val="00D4776D"/>
    <w:rsid w:val="00D52430"/>
    <w:rsid w:val="00D52A24"/>
    <w:rsid w:val="00D56A53"/>
    <w:rsid w:val="00D62C07"/>
    <w:rsid w:val="00D634EF"/>
    <w:rsid w:val="00D663EF"/>
    <w:rsid w:val="00D76D1B"/>
    <w:rsid w:val="00D838D9"/>
    <w:rsid w:val="00D83EFA"/>
    <w:rsid w:val="00D842A2"/>
    <w:rsid w:val="00D853A8"/>
    <w:rsid w:val="00D90EFC"/>
    <w:rsid w:val="00DA12FC"/>
    <w:rsid w:val="00DA2539"/>
    <w:rsid w:val="00DA521C"/>
    <w:rsid w:val="00DB1B6C"/>
    <w:rsid w:val="00DB4AAA"/>
    <w:rsid w:val="00DB5CBD"/>
    <w:rsid w:val="00DC032E"/>
    <w:rsid w:val="00DC34E1"/>
    <w:rsid w:val="00DC60D5"/>
    <w:rsid w:val="00DC6A1C"/>
    <w:rsid w:val="00DD02F0"/>
    <w:rsid w:val="00DD355A"/>
    <w:rsid w:val="00DD4746"/>
    <w:rsid w:val="00DD7E59"/>
    <w:rsid w:val="00DE09F4"/>
    <w:rsid w:val="00DE131C"/>
    <w:rsid w:val="00DE2D45"/>
    <w:rsid w:val="00DE7864"/>
    <w:rsid w:val="00DF065F"/>
    <w:rsid w:val="00DF0958"/>
    <w:rsid w:val="00DF623E"/>
    <w:rsid w:val="00E01221"/>
    <w:rsid w:val="00E04615"/>
    <w:rsid w:val="00E114A1"/>
    <w:rsid w:val="00E117FB"/>
    <w:rsid w:val="00E15F3B"/>
    <w:rsid w:val="00E217A9"/>
    <w:rsid w:val="00E2199A"/>
    <w:rsid w:val="00E22AEE"/>
    <w:rsid w:val="00E2766F"/>
    <w:rsid w:val="00E279C8"/>
    <w:rsid w:val="00E333AF"/>
    <w:rsid w:val="00E37D03"/>
    <w:rsid w:val="00E4346B"/>
    <w:rsid w:val="00E50996"/>
    <w:rsid w:val="00E53407"/>
    <w:rsid w:val="00E54F2B"/>
    <w:rsid w:val="00E56634"/>
    <w:rsid w:val="00E569FE"/>
    <w:rsid w:val="00E607D5"/>
    <w:rsid w:val="00E6411C"/>
    <w:rsid w:val="00E641F3"/>
    <w:rsid w:val="00E65433"/>
    <w:rsid w:val="00E71DC5"/>
    <w:rsid w:val="00E72A1D"/>
    <w:rsid w:val="00E76269"/>
    <w:rsid w:val="00E81D18"/>
    <w:rsid w:val="00E900F3"/>
    <w:rsid w:val="00EB301A"/>
    <w:rsid w:val="00EB7E85"/>
    <w:rsid w:val="00EC0309"/>
    <w:rsid w:val="00EC34B1"/>
    <w:rsid w:val="00EC354D"/>
    <w:rsid w:val="00EC3D11"/>
    <w:rsid w:val="00EC496B"/>
    <w:rsid w:val="00EC6558"/>
    <w:rsid w:val="00ED1D7E"/>
    <w:rsid w:val="00ED50A4"/>
    <w:rsid w:val="00ED5369"/>
    <w:rsid w:val="00ED5C3D"/>
    <w:rsid w:val="00EE0116"/>
    <w:rsid w:val="00EE1BD6"/>
    <w:rsid w:val="00EE1E03"/>
    <w:rsid w:val="00EE2A02"/>
    <w:rsid w:val="00EE42A9"/>
    <w:rsid w:val="00EE6101"/>
    <w:rsid w:val="00EE7CDF"/>
    <w:rsid w:val="00EF0BBD"/>
    <w:rsid w:val="00EF2B2C"/>
    <w:rsid w:val="00EF3E42"/>
    <w:rsid w:val="00EF56B5"/>
    <w:rsid w:val="00EF7841"/>
    <w:rsid w:val="00F05E23"/>
    <w:rsid w:val="00F07675"/>
    <w:rsid w:val="00F07F05"/>
    <w:rsid w:val="00F12800"/>
    <w:rsid w:val="00F13794"/>
    <w:rsid w:val="00F22853"/>
    <w:rsid w:val="00F27C03"/>
    <w:rsid w:val="00F31809"/>
    <w:rsid w:val="00F3315D"/>
    <w:rsid w:val="00F40F6D"/>
    <w:rsid w:val="00F42490"/>
    <w:rsid w:val="00F43978"/>
    <w:rsid w:val="00F43E51"/>
    <w:rsid w:val="00F4637E"/>
    <w:rsid w:val="00F5414D"/>
    <w:rsid w:val="00F5552D"/>
    <w:rsid w:val="00F56A57"/>
    <w:rsid w:val="00F56B7C"/>
    <w:rsid w:val="00F57650"/>
    <w:rsid w:val="00F57874"/>
    <w:rsid w:val="00F60705"/>
    <w:rsid w:val="00F63F38"/>
    <w:rsid w:val="00F65E9D"/>
    <w:rsid w:val="00F66819"/>
    <w:rsid w:val="00F724B7"/>
    <w:rsid w:val="00F72E04"/>
    <w:rsid w:val="00F7398E"/>
    <w:rsid w:val="00F74522"/>
    <w:rsid w:val="00F75EDC"/>
    <w:rsid w:val="00F77663"/>
    <w:rsid w:val="00F81F2D"/>
    <w:rsid w:val="00F820D1"/>
    <w:rsid w:val="00F83F92"/>
    <w:rsid w:val="00F8661D"/>
    <w:rsid w:val="00F913B3"/>
    <w:rsid w:val="00F93F1E"/>
    <w:rsid w:val="00F95853"/>
    <w:rsid w:val="00F96F09"/>
    <w:rsid w:val="00FA1AFD"/>
    <w:rsid w:val="00FA4A50"/>
    <w:rsid w:val="00FA4A71"/>
    <w:rsid w:val="00FA7D8C"/>
    <w:rsid w:val="00FB26B1"/>
    <w:rsid w:val="00FB2DF5"/>
    <w:rsid w:val="00FB31FE"/>
    <w:rsid w:val="00FB33EE"/>
    <w:rsid w:val="00FB376A"/>
    <w:rsid w:val="00FB4D78"/>
    <w:rsid w:val="00FC58C3"/>
    <w:rsid w:val="00FD01EC"/>
    <w:rsid w:val="00FD19FD"/>
    <w:rsid w:val="00FD3B51"/>
    <w:rsid w:val="00FE2C9B"/>
    <w:rsid w:val="00FE4643"/>
    <w:rsid w:val="00FE53D5"/>
    <w:rsid w:val="00FE7908"/>
    <w:rsid w:val="00FF00FD"/>
    <w:rsid w:val="00FF3567"/>
    <w:rsid w:val="00FF67BA"/>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9575E"/>
  <w15:chartTrackingRefBased/>
  <w15:docId w15:val="{FBC185E5-0E69-4701-A6EA-ABAEC97C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List Number"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4"/>
      <w:lang w:val="en-GB" w:eastAsia="en-GB"/>
    </w:rPr>
  </w:style>
  <w:style w:type="paragraph" w:styleId="Heading1">
    <w:name w:val="heading 1"/>
    <w:basedOn w:val="Normal"/>
    <w:link w:val="Heading1Char"/>
    <w:uiPriority w:val="9"/>
    <w:qFormat/>
    <w:rsid w:val="00807421"/>
    <w:pPr>
      <w:spacing w:before="100" w:beforeAutospacing="1" w:after="100" w:afterAutospacing="1"/>
      <w:outlineLvl w:val="0"/>
    </w:pPr>
    <w:rPr>
      <w:b/>
      <w:bCs/>
      <w:kern w:val="36"/>
      <w:sz w:val="48"/>
      <w:szCs w:val="48"/>
      <w:lang w:val="x-none" w:eastAsia="x-none"/>
    </w:rPr>
  </w:style>
  <w:style w:type="paragraph" w:styleId="Heading4">
    <w:name w:val="heading 4"/>
    <w:basedOn w:val="Normal"/>
    <w:next w:val="Normal"/>
    <w:link w:val="Heading4Char"/>
    <w:qFormat/>
    <w:rsid w:val="00614B4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NormalWeb">
    <w:name w:val="Normal (Web)"/>
    <w:aliases w:val="Normal (Web) Char,Char Char Char Char Char Char Char Char Char Char Char Char Char Char Char,Char Char Char Char Char Char Char Char Char Char Char Char,Char Char Cha,Char1 Char1,Char11 Char"/>
    <w:basedOn w:val="Normal"/>
    <w:link w:val="NormalWebChar1"/>
    <w:uiPriority w:val="99"/>
    <w:unhideWhenUsed/>
    <w:rsid w:val="003974C3"/>
    <w:pPr>
      <w:spacing w:before="100" w:beforeAutospacing="1" w:after="100" w:afterAutospacing="1"/>
    </w:pPr>
    <w:rPr>
      <w:lang w:val="en-US" w:eastAsia="en-US"/>
    </w:rPr>
  </w:style>
  <w:style w:type="character" w:styleId="Emphasis">
    <w:name w:val="Emphasis"/>
    <w:uiPriority w:val="20"/>
    <w:qFormat/>
    <w:rsid w:val="003974C3"/>
    <w:rPr>
      <w:i/>
      <w:iCs/>
    </w:rPr>
  </w:style>
  <w:style w:type="paragraph" w:styleId="ListParagraph">
    <w:name w:val="List Paragraph"/>
    <w:basedOn w:val="Normal"/>
    <w:uiPriority w:val="34"/>
    <w:qFormat/>
    <w:rsid w:val="009672A4"/>
    <w:pPr>
      <w:ind w:left="720"/>
    </w:pPr>
  </w:style>
  <w:style w:type="paragraph" w:styleId="Header">
    <w:name w:val="header"/>
    <w:basedOn w:val="Normal"/>
    <w:link w:val="HeaderChar"/>
    <w:uiPriority w:val="99"/>
    <w:rsid w:val="005D3361"/>
    <w:pPr>
      <w:tabs>
        <w:tab w:val="center" w:pos="4680"/>
        <w:tab w:val="right" w:pos="9360"/>
      </w:tabs>
    </w:pPr>
  </w:style>
  <w:style w:type="character" w:customStyle="1" w:styleId="HeaderChar">
    <w:name w:val="Header Char"/>
    <w:link w:val="Header"/>
    <w:uiPriority w:val="99"/>
    <w:rsid w:val="005D3361"/>
    <w:rPr>
      <w:sz w:val="24"/>
      <w:szCs w:val="24"/>
      <w:lang w:val="en-GB" w:eastAsia="en-GB"/>
    </w:rPr>
  </w:style>
  <w:style w:type="paragraph" w:styleId="Footer">
    <w:name w:val="footer"/>
    <w:basedOn w:val="Normal"/>
    <w:link w:val="FooterChar"/>
    <w:uiPriority w:val="99"/>
    <w:rsid w:val="005D3361"/>
    <w:pPr>
      <w:tabs>
        <w:tab w:val="center" w:pos="4680"/>
        <w:tab w:val="right" w:pos="9360"/>
      </w:tabs>
    </w:pPr>
  </w:style>
  <w:style w:type="character" w:customStyle="1" w:styleId="FooterChar">
    <w:name w:val="Footer Char"/>
    <w:link w:val="Footer"/>
    <w:uiPriority w:val="99"/>
    <w:rsid w:val="005D3361"/>
    <w:rPr>
      <w:sz w:val="24"/>
      <w:szCs w:val="24"/>
      <w:lang w:val="en-GB" w:eastAsia="en-GB"/>
    </w:rPr>
  </w:style>
  <w:style w:type="character" w:styleId="Strong">
    <w:name w:val="Strong"/>
    <w:uiPriority w:val="22"/>
    <w:qFormat/>
    <w:rsid w:val="003E382F"/>
    <w:rPr>
      <w:b/>
      <w:bCs/>
    </w:rPr>
  </w:style>
  <w:style w:type="paragraph" w:customStyle="1" w:styleId="1">
    <w:name w:val="1"/>
    <w:basedOn w:val="Normal"/>
    <w:autoRedefine/>
    <w:rsid w:val="00C16013"/>
    <w:pPr>
      <w:spacing w:after="160" w:line="240" w:lineRule="exact"/>
      <w:ind w:firstLine="567"/>
    </w:pPr>
    <w:rPr>
      <w:rFonts w:ascii=".VnArial" w:hAnsi=".VnArial" w:cs=".VnArial"/>
      <w:lang w:val="es-CO" w:eastAsia="en-US"/>
    </w:rPr>
  </w:style>
  <w:style w:type="character" w:customStyle="1" w:styleId="Heading1Char">
    <w:name w:val="Heading 1 Char"/>
    <w:link w:val="Heading1"/>
    <w:uiPriority w:val="9"/>
    <w:rsid w:val="00807421"/>
    <w:rPr>
      <w:b/>
      <w:bCs/>
      <w:kern w:val="36"/>
      <w:sz w:val="48"/>
      <w:szCs w:val="48"/>
    </w:rPr>
  </w:style>
  <w:style w:type="character" w:customStyle="1" w:styleId="Heading4Char">
    <w:name w:val="Heading 4 Char"/>
    <w:link w:val="Heading4"/>
    <w:semiHidden/>
    <w:rsid w:val="00614B41"/>
    <w:rPr>
      <w:rFonts w:ascii="Calibri" w:eastAsia="Times New Roman" w:hAnsi="Calibri" w:cs="Times New Roman"/>
      <w:b/>
      <w:bCs/>
      <w:sz w:val="28"/>
      <w:szCs w:val="28"/>
      <w:lang w:val="en-GB" w:eastAsia="en-GB"/>
    </w:rPr>
  </w:style>
  <w:style w:type="character" w:customStyle="1" w:styleId="bigtitle1">
    <w:name w:val="bigtitle1"/>
    <w:rsid w:val="00614B41"/>
    <w:rPr>
      <w:b/>
      <w:bCs/>
      <w:color w:val="333333"/>
      <w:sz w:val="26"/>
      <w:szCs w:val="26"/>
    </w:rPr>
  </w:style>
  <w:style w:type="paragraph" w:customStyle="1" w:styleId="2">
    <w:name w:val="2"/>
    <w:basedOn w:val="Normal"/>
    <w:next w:val="Normal"/>
    <w:autoRedefine/>
    <w:semiHidden/>
    <w:rsid w:val="00A260FB"/>
    <w:pPr>
      <w:spacing w:before="120" w:after="120" w:line="312" w:lineRule="auto"/>
    </w:pPr>
    <w:rPr>
      <w:sz w:val="28"/>
      <w:szCs w:val="22"/>
      <w:lang w:val="en-US" w:eastAsia="en-US"/>
    </w:rPr>
  </w:style>
  <w:style w:type="paragraph" w:customStyle="1" w:styleId="Char1CharCharCharCharCharCharCharCharCharCharCharCharCharCharCharChar1CharChar">
    <w:name w:val="Char1 Char Char Char Char Char Char Char Char Char Char Char Char Char Char Char Char1 Char Char"/>
    <w:basedOn w:val="Normal"/>
    <w:rsid w:val="00D52A24"/>
    <w:pPr>
      <w:widowControl w:val="0"/>
      <w:jc w:val="both"/>
    </w:pPr>
    <w:rPr>
      <w:rFonts w:eastAsia="SimSun" w:cs="Arial"/>
      <w:kern w:val="2"/>
      <w:sz w:val="28"/>
      <w:szCs w:val="26"/>
      <w:lang w:val="en-US" w:eastAsia="zh-CN"/>
    </w:rPr>
  </w:style>
  <w:style w:type="paragraph" w:styleId="BalloonText">
    <w:name w:val="Balloon Text"/>
    <w:basedOn w:val="Normal"/>
    <w:semiHidden/>
    <w:rsid w:val="00D52A24"/>
    <w:rPr>
      <w:rFonts w:ascii="Tahoma" w:hAnsi="Tahoma" w:cs="Tahoma"/>
      <w:sz w:val="16"/>
      <w:szCs w:val="16"/>
    </w:rPr>
  </w:style>
  <w:style w:type="paragraph" w:customStyle="1" w:styleId="Char">
    <w:name w:val="Char"/>
    <w:basedOn w:val="Normal"/>
    <w:rsid w:val="00E54F2B"/>
    <w:rPr>
      <w:rFonts w:ascii="Arial" w:hAnsi="Arial"/>
      <w:sz w:val="22"/>
      <w:szCs w:val="20"/>
      <w:lang w:val="en-AU" w:eastAsia="en-US"/>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1 Char1 Char,Char11 Char Char"/>
    <w:link w:val="NormalWeb"/>
    <w:uiPriority w:val="99"/>
    <w:rsid w:val="00D62C07"/>
    <w:rPr>
      <w:sz w:val="24"/>
      <w:szCs w:val="24"/>
      <w:lang w:val="en-US" w:eastAsia="en-US" w:bidi="ar-SA"/>
    </w:rPr>
  </w:style>
  <w:style w:type="paragraph" w:customStyle="1" w:styleId="CharCharCharChar">
    <w:name w:val="Char Char Char Char"/>
    <w:basedOn w:val="Normal"/>
    <w:rsid w:val="00C91E28"/>
    <w:pPr>
      <w:spacing w:after="160" w:line="240" w:lineRule="exact"/>
    </w:pPr>
    <w:rPr>
      <w:rFonts w:ascii="Verdana" w:hAnsi="Verdana"/>
      <w:sz w:val="20"/>
      <w:szCs w:val="20"/>
      <w:lang w:val="en-US" w:eastAsia="en-US"/>
    </w:rPr>
  </w:style>
  <w:style w:type="paragraph" w:customStyle="1" w:styleId="Char0">
    <w:name w:val="Char"/>
    <w:basedOn w:val="Normal"/>
    <w:autoRedefine/>
    <w:rsid w:val="009C5F5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table" w:styleId="TableGrid">
    <w:name w:val="Table Grid"/>
    <w:basedOn w:val="TableNormal"/>
    <w:rsid w:val="0076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 Arial Char,10 pt Char,Black Char,Footnote Char,ftref Char,(NECG) Footnote Reference Char,16 Point Char,Superscript 6 Point Char,Footnote text Char,Ref Char Char,de nota al pie Char Char,Ref1 Char Char,FNRefe Char1,fr,f,Ref"/>
    <w:link w:val="FootnoteArial"/>
    <w:uiPriority w:val="99"/>
    <w:qFormat/>
    <w:rsid w:val="005D08F0"/>
    <w:rPr>
      <w:vertAlign w:val="superscript"/>
    </w:rPr>
  </w:style>
  <w:style w:type="paragraph" w:customStyle="1" w:styleId="FootnoteArial">
    <w:name w:val="Footnote + Arial"/>
    <w:aliases w:val="10 pt,Black,Footnote,ftref,(NECG) Footnote Reference,16 Point,Superscript 6 Point,Footnote text,Ref Char,de nota al pie Char,Ref1 Char,BVI fnr Char Char Char Char Char Char Char,FNRefe,BVI fnr Car Car Char Char Char Char Char Char Char"/>
    <w:basedOn w:val="Normal"/>
    <w:link w:val="FootnoteReference"/>
    <w:uiPriority w:val="99"/>
    <w:qFormat/>
    <w:rsid w:val="005D08F0"/>
    <w:pPr>
      <w:spacing w:after="160" w:line="240" w:lineRule="exact"/>
    </w:pPr>
    <w:rPr>
      <w:sz w:val="20"/>
      <w:szCs w:val="20"/>
      <w:vertAlign w:val="superscript"/>
      <w:lang w:val="en-US" w:eastAsia="en-US"/>
    </w:rPr>
  </w:style>
  <w:style w:type="paragraph" w:styleId="FootnoteText">
    <w:name w:val="footnote text"/>
    <w:aliases w:val="Footnote Text Char1 Char1,single spac,ft,Footnote Text Char Tegn Char,Footnote Text Char Char Char Char Char,Footnote Text Char Char Char Char Char Char Ch Char,Footnote Text Char Char Char Char Char Char Ch Char Char,fn,C,Car C"/>
    <w:basedOn w:val="Normal"/>
    <w:link w:val="FootnoteTextChar"/>
    <w:uiPriority w:val="99"/>
    <w:unhideWhenUsed/>
    <w:qFormat/>
    <w:rsid w:val="005D08F0"/>
    <w:rPr>
      <w:rFonts w:eastAsia="Calibri"/>
      <w:sz w:val="20"/>
      <w:szCs w:val="20"/>
      <w:lang w:val="en-US" w:eastAsia="en-US"/>
    </w:rPr>
  </w:style>
  <w:style w:type="character" w:customStyle="1" w:styleId="FootnoteTextChar">
    <w:name w:val="Footnote Text Char"/>
    <w:aliases w:val="Footnote Text Char1 Char1 Char,single spac Char,ft Char,Footnote Text Char Tegn Char Char,Footnote Text Char Char Char Char Char Char,Footnote Text Char Char Char Char Char Char Ch Char Char1,fn Char,C Char,Car C Char"/>
    <w:link w:val="FootnoteText"/>
    <w:uiPriority w:val="99"/>
    <w:qFormat/>
    <w:rsid w:val="005D08F0"/>
    <w:rPr>
      <w:rFonts w:eastAsia="Calibri"/>
    </w:rPr>
  </w:style>
  <w:style w:type="table" w:customStyle="1" w:styleId="NormalGrid">
    <w:name w:val="Normal Grid"/>
    <w:basedOn w:val="TableNormal"/>
    <w:uiPriority w:val="39"/>
    <w:rsid w:val="0086248C"/>
    <w:rPr>
      <w:rFonts w:ascii="Georgia" w:eastAsia="Calibri" w:hAnsi="Calibri"/>
      <w:sz w:val="21"/>
      <w:szCs w:val="22"/>
    </w:rPr>
    <w:tblPr>
      <w:tblCellMar>
        <w:top w:w="80" w:type="dxa"/>
        <w:left w:w="160" w:type="dxa"/>
        <w:bottom w:w="80" w:type="dxa"/>
        <w:right w:w="160" w:type="dxa"/>
      </w:tblCellMar>
    </w:tblPr>
  </w:style>
  <w:style w:type="character" w:customStyle="1" w:styleId="ng-star-inserted">
    <w:name w:val="ng-star-inserted"/>
    <w:basedOn w:val="DefaultParagraphFont"/>
    <w:rsid w:val="00DE7864"/>
  </w:style>
  <w:style w:type="character" w:styleId="CommentReference">
    <w:name w:val="annotation reference"/>
    <w:rsid w:val="008421C5"/>
    <w:rPr>
      <w:sz w:val="16"/>
      <w:szCs w:val="16"/>
    </w:rPr>
  </w:style>
  <w:style w:type="paragraph" w:styleId="CommentText">
    <w:name w:val="annotation text"/>
    <w:basedOn w:val="Normal"/>
    <w:link w:val="CommentTextChar"/>
    <w:rsid w:val="008421C5"/>
    <w:rPr>
      <w:sz w:val="20"/>
      <w:szCs w:val="20"/>
    </w:rPr>
  </w:style>
  <w:style w:type="character" w:customStyle="1" w:styleId="CommentTextChar">
    <w:name w:val="Comment Text Char"/>
    <w:link w:val="CommentText"/>
    <w:rsid w:val="008421C5"/>
    <w:rPr>
      <w:lang w:val="en-GB" w:eastAsia="en-GB"/>
    </w:rPr>
  </w:style>
  <w:style w:type="paragraph" w:styleId="CommentSubject">
    <w:name w:val="annotation subject"/>
    <w:basedOn w:val="CommentText"/>
    <w:next w:val="CommentText"/>
    <w:link w:val="CommentSubjectChar"/>
    <w:rsid w:val="008421C5"/>
    <w:rPr>
      <w:b/>
      <w:bCs/>
    </w:rPr>
  </w:style>
  <w:style w:type="character" w:customStyle="1" w:styleId="CommentSubjectChar">
    <w:name w:val="Comment Subject Char"/>
    <w:link w:val="CommentSubject"/>
    <w:rsid w:val="008421C5"/>
    <w:rPr>
      <w:b/>
      <w:bCs/>
      <w:lang w:val="en-GB" w:eastAsia="en-GB"/>
    </w:rPr>
  </w:style>
  <w:style w:type="paragraph" w:styleId="ListNumber">
    <w:name w:val="List Number"/>
    <w:basedOn w:val="Normal"/>
    <w:uiPriority w:val="99"/>
    <w:unhideWhenUsed/>
    <w:rsid w:val="00A54FB1"/>
    <w:pPr>
      <w:numPr>
        <w:numId w:val="6"/>
      </w:numPr>
      <w:tabs>
        <w:tab w:val="clear" w:pos="360"/>
      </w:tabs>
      <w:spacing w:after="200" w:line="276" w:lineRule="auto"/>
      <w:ind w:left="0" w:firstLine="0"/>
      <w:contextualSpacing/>
    </w:pPr>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985">
      <w:bodyDiv w:val="1"/>
      <w:marLeft w:val="0"/>
      <w:marRight w:val="0"/>
      <w:marTop w:val="0"/>
      <w:marBottom w:val="0"/>
      <w:divBdr>
        <w:top w:val="none" w:sz="0" w:space="0" w:color="auto"/>
        <w:left w:val="none" w:sz="0" w:space="0" w:color="auto"/>
        <w:bottom w:val="none" w:sz="0" w:space="0" w:color="auto"/>
        <w:right w:val="none" w:sz="0" w:space="0" w:color="auto"/>
      </w:divBdr>
    </w:div>
    <w:div w:id="269817491">
      <w:bodyDiv w:val="1"/>
      <w:marLeft w:val="0"/>
      <w:marRight w:val="0"/>
      <w:marTop w:val="0"/>
      <w:marBottom w:val="0"/>
      <w:divBdr>
        <w:top w:val="none" w:sz="0" w:space="0" w:color="auto"/>
        <w:left w:val="none" w:sz="0" w:space="0" w:color="auto"/>
        <w:bottom w:val="none" w:sz="0" w:space="0" w:color="auto"/>
        <w:right w:val="none" w:sz="0" w:space="0" w:color="auto"/>
      </w:divBdr>
    </w:div>
    <w:div w:id="365253777">
      <w:bodyDiv w:val="1"/>
      <w:marLeft w:val="0"/>
      <w:marRight w:val="0"/>
      <w:marTop w:val="0"/>
      <w:marBottom w:val="0"/>
      <w:divBdr>
        <w:top w:val="none" w:sz="0" w:space="0" w:color="auto"/>
        <w:left w:val="none" w:sz="0" w:space="0" w:color="auto"/>
        <w:bottom w:val="none" w:sz="0" w:space="0" w:color="auto"/>
        <w:right w:val="none" w:sz="0" w:space="0" w:color="auto"/>
      </w:divBdr>
      <w:divsChild>
        <w:div w:id="978804730">
          <w:marLeft w:val="0"/>
          <w:marRight w:val="0"/>
          <w:marTop w:val="0"/>
          <w:marBottom w:val="0"/>
          <w:divBdr>
            <w:top w:val="none" w:sz="0" w:space="0" w:color="auto"/>
            <w:left w:val="none" w:sz="0" w:space="0" w:color="auto"/>
            <w:bottom w:val="none" w:sz="0" w:space="0" w:color="auto"/>
            <w:right w:val="none" w:sz="0" w:space="0" w:color="auto"/>
          </w:divBdr>
          <w:divsChild>
            <w:div w:id="847407605">
              <w:marLeft w:val="0"/>
              <w:marRight w:val="0"/>
              <w:marTop w:val="0"/>
              <w:marBottom w:val="0"/>
              <w:divBdr>
                <w:top w:val="none" w:sz="0" w:space="0" w:color="auto"/>
                <w:left w:val="none" w:sz="0" w:space="0" w:color="auto"/>
                <w:bottom w:val="none" w:sz="0" w:space="0" w:color="auto"/>
                <w:right w:val="none" w:sz="0" w:space="0" w:color="auto"/>
              </w:divBdr>
              <w:divsChild>
                <w:div w:id="1634021531">
                  <w:marLeft w:val="0"/>
                  <w:marRight w:val="0"/>
                  <w:marTop w:val="0"/>
                  <w:marBottom w:val="150"/>
                  <w:divBdr>
                    <w:top w:val="none" w:sz="0" w:space="0" w:color="auto"/>
                    <w:left w:val="none" w:sz="0" w:space="0" w:color="auto"/>
                    <w:bottom w:val="none" w:sz="0" w:space="0" w:color="auto"/>
                    <w:right w:val="none" w:sz="0" w:space="0" w:color="auto"/>
                  </w:divBdr>
                  <w:divsChild>
                    <w:div w:id="963072181">
                      <w:marLeft w:val="0"/>
                      <w:marRight w:val="0"/>
                      <w:marTop w:val="0"/>
                      <w:marBottom w:val="0"/>
                      <w:divBdr>
                        <w:top w:val="none" w:sz="0" w:space="0" w:color="auto"/>
                        <w:left w:val="none" w:sz="0" w:space="0" w:color="auto"/>
                        <w:bottom w:val="none" w:sz="0" w:space="0" w:color="auto"/>
                        <w:right w:val="none" w:sz="0" w:space="0" w:color="auto"/>
                      </w:divBdr>
                      <w:divsChild>
                        <w:div w:id="892423765">
                          <w:marLeft w:val="0"/>
                          <w:marRight w:val="0"/>
                          <w:marTop w:val="0"/>
                          <w:marBottom w:val="0"/>
                          <w:divBdr>
                            <w:top w:val="none" w:sz="0" w:space="0" w:color="auto"/>
                            <w:left w:val="none" w:sz="0" w:space="0" w:color="auto"/>
                            <w:bottom w:val="none" w:sz="0" w:space="0" w:color="auto"/>
                            <w:right w:val="none" w:sz="0" w:space="0" w:color="auto"/>
                          </w:divBdr>
                          <w:divsChild>
                            <w:div w:id="1152061989">
                              <w:marLeft w:val="0"/>
                              <w:marRight w:val="0"/>
                              <w:marTop w:val="0"/>
                              <w:marBottom w:val="0"/>
                              <w:divBdr>
                                <w:top w:val="none" w:sz="0" w:space="0" w:color="auto"/>
                                <w:left w:val="none" w:sz="0" w:space="0" w:color="auto"/>
                                <w:bottom w:val="none" w:sz="0" w:space="0" w:color="auto"/>
                                <w:right w:val="none" w:sz="0" w:space="0" w:color="auto"/>
                              </w:divBdr>
                              <w:divsChild>
                                <w:div w:id="2120367293">
                                  <w:marLeft w:val="0"/>
                                  <w:marRight w:val="0"/>
                                  <w:marTop w:val="0"/>
                                  <w:marBottom w:val="0"/>
                                  <w:divBdr>
                                    <w:top w:val="none" w:sz="0" w:space="0" w:color="auto"/>
                                    <w:left w:val="none" w:sz="0" w:space="0" w:color="auto"/>
                                    <w:bottom w:val="none" w:sz="0" w:space="0" w:color="auto"/>
                                    <w:right w:val="none" w:sz="0" w:space="0" w:color="auto"/>
                                  </w:divBdr>
                                  <w:divsChild>
                                    <w:div w:id="16731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059540">
              <w:marLeft w:val="0"/>
              <w:marRight w:val="0"/>
              <w:marTop w:val="0"/>
              <w:marBottom w:val="0"/>
              <w:divBdr>
                <w:top w:val="none" w:sz="0" w:space="0" w:color="auto"/>
                <w:left w:val="none" w:sz="0" w:space="0" w:color="auto"/>
                <w:bottom w:val="none" w:sz="0" w:space="0" w:color="auto"/>
                <w:right w:val="none" w:sz="0" w:space="0" w:color="auto"/>
              </w:divBdr>
              <w:divsChild>
                <w:div w:id="1962883433">
                  <w:marLeft w:val="0"/>
                  <w:marRight w:val="0"/>
                  <w:marTop w:val="0"/>
                  <w:marBottom w:val="0"/>
                  <w:divBdr>
                    <w:top w:val="none" w:sz="0" w:space="0" w:color="auto"/>
                    <w:left w:val="none" w:sz="0" w:space="0" w:color="auto"/>
                    <w:bottom w:val="none" w:sz="0" w:space="0" w:color="auto"/>
                    <w:right w:val="none" w:sz="0" w:space="0" w:color="auto"/>
                  </w:divBdr>
                  <w:divsChild>
                    <w:div w:id="1927228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8288771">
          <w:marLeft w:val="0"/>
          <w:marRight w:val="0"/>
          <w:marTop w:val="0"/>
          <w:marBottom w:val="150"/>
          <w:divBdr>
            <w:top w:val="none" w:sz="0" w:space="0" w:color="auto"/>
            <w:left w:val="none" w:sz="0" w:space="0" w:color="auto"/>
            <w:bottom w:val="none" w:sz="0" w:space="0" w:color="auto"/>
            <w:right w:val="none" w:sz="0" w:space="0" w:color="auto"/>
          </w:divBdr>
          <w:divsChild>
            <w:div w:id="1056778008">
              <w:marLeft w:val="0"/>
              <w:marRight w:val="150"/>
              <w:marTop w:val="0"/>
              <w:marBottom w:val="0"/>
              <w:divBdr>
                <w:top w:val="none" w:sz="0" w:space="0" w:color="auto"/>
                <w:left w:val="none" w:sz="0" w:space="0" w:color="auto"/>
                <w:bottom w:val="none" w:sz="0" w:space="0" w:color="auto"/>
                <w:right w:val="none" w:sz="0" w:space="0" w:color="auto"/>
              </w:divBdr>
              <w:divsChild>
                <w:div w:id="8443212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69268">
      <w:bodyDiv w:val="1"/>
      <w:marLeft w:val="0"/>
      <w:marRight w:val="0"/>
      <w:marTop w:val="0"/>
      <w:marBottom w:val="0"/>
      <w:divBdr>
        <w:top w:val="none" w:sz="0" w:space="0" w:color="auto"/>
        <w:left w:val="none" w:sz="0" w:space="0" w:color="auto"/>
        <w:bottom w:val="none" w:sz="0" w:space="0" w:color="auto"/>
        <w:right w:val="none" w:sz="0" w:space="0" w:color="auto"/>
      </w:divBdr>
    </w:div>
    <w:div w:id="607157478">
      <w:bodyDiv w:val="1"/>
      <w:marLeft w:val="0"/>
      <w:marRight w:val="0"/>
      <w:marTop w:val="0"/>
      <w:marBottom w:val="0"/>
      <w:divBdr>
        <w:top w:val="none" w:sz="0" w:space="0" w:color="auto"/>
        <w:left w:val="none" w:sz="0" w:space="0" w:color="auto"/>
        <w:bottom w:val="none" w:sz="0" w:space="0" w:color="auto"/>
        <w:right w:val="none" w:sz="0" w:space="0" w:color="auto"/>
      </w:divBdr>
    </w:div>
    <w:div w:id="771052977">
      <w:bodyDiv w:val="1"/>
      <w:marLeft w:val="0"/>
      <w:marRight w:val="0"/>
      <w:marTop w:val="0"/>
      <w:marBottom w:val="0"/>
      <w:divBdr>
        <w:top w:val="none" w:sz="0" w:space="0" w:color="auto"/>
        <w:left w:val="none" w:sz="0" w:space="0" w:color="auto"/>
        <w:bottom w:val="none" w:sz="0" w:space="0" w:color="auto"/>
        <w:right w:val="none" w:sz="0" w:space="0" w:color="auto"/>
      </w:divBdr>
    </w:div>
    <w:div w:id="1727871234">
      <w:bodyDiv w:val="1"/>
      <w:marLeft w:val="0"/>
      <w:marRight w:val="0"/>
      <w:marTop w:val="0"/>
      <w:marBottom w:val="0"/>
      <w:divBdr>
        <w:top w:val="none" w:sz="0" w:space="0" w:color="auto"/>
        <w:left w:val="none" w:sz="0" w:space="0" w:color="auto"/>
        <w:bottom w:val="none" w:sz="0" w:space="0" w:color="auto"/>
        <w:right w:val="none" w:sz="0" w:space="0" w:color="auto"/>
      </w:divBdr>
    </w:div>
    <w:div w:id="21176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7C58-5FFE-47F1-82F5-E82880E9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ỦY BAN NHÂN DÂN</vt:lpstr>
    </vt:vector>
  </TitlesOfParts>
  <Company>sowlov co. ltd.</Company>
  <LinksUpToDate>false</LinksUpToDate>
  <CharactersWithSpaces>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BaCuong</dc:creator>
  <cp:keywords/>
  <dc:description/>
  <cp:lastModifiedBy>62608503_Nguyễn Thị Nhung</cp:lastModifiedBy>
  <cp:revision>17</cp:revision>
  <cp:lastPrinted>2024-01-29T07:40:00Z</cp:lastPrinted>
  <dcterms:created xsi:type="dcterms:W3CDTF">2026-04-02T11:08:00Z</dcterms:created>
  <dcterms:modified xsi:type="dcterms:W3CDTF">2026-04-02T18:20:00Z</dcterms:modified>
</cp:coreProperties>
</file>