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446" w:type="dxa"/>
        <w:tblInd w:w="-527" w:type="dxa"/>
        <w:tblLayout w:type="fixed"/>
        <w:tblLook w:val="04A0" w:firstRow="1" w:lastRow="0" w:firstColumn="1" w:lastColumn="0" w:noHBand="0" w:noVBand="1"/>
      </w:tblPr>
      <w:tblGrid>
        <w:gridCol w:w="420"/>
        <w:gridCol w:w="2963"/>
        <w:gridCol w:w="2688"/>
        <w:gridCol w:w="3685"/>
        <w:gridCol w:w="2688"/>
        <w:gridCol w:w="3002"/>
      </w:tblGrid>
      <w:tr w:rsidR="00775553" w:rsidRPr="005B0632" w14:paraId="6A6F492A" w14:textId="77777777" w:rsidTr="005B0632">
        <w:trPr>
          <w:trHeight w:val="510"/>
        </w:trPr>
        <w:tc>
          <w:tcPr>
            <w:tcW w:w="15446" w:type="dxa"/>
            <w:gridSpan w:val="6"/>
            <w:tcBorders>
              <w:top w:val="nil"/>
              <w:left w:val="nil"/>
              <w:right w:val="nil"/>
            </w:tcBorders>
            <w:vAlign w:val="center"/>
          </w:tcPr>
          <w:tbl>
            <w:tblPr>
              <w:tblW w:w="14850" w:type="dxa"/>
              <w:tblLayout w:type="fixed"/>
              <w:tblLook w:val="01E0" w:firstRow="1" w:lastRow="1" w:firstColumn="1" w:lastColumn="1" w:noHBand="0" w:noVBand="0"/>
            </w:tblPr>
            <w:tblGrid>
              <w:gridCol w:w="7035"/>
              <w:gridCol w:w="7815"/>
            </w:tblGrid>
            <w:tr w:rsidR="001D4936" w14:paraId="47722BAE" w14:textId="77777777" w:rsidTr="003167F0">
              <w:trPr>
                <w:trHeight w:val="709"/>
              </w:trPr>
              <w:tc>
                <w:tcPr>
                  <w:tcW w:w="7035" w:type="dxa"/>
                </w:tcPr>
                <w:p w14:paraId="18827EA7" w14:textId="77777777" w:rsidR="001D4936" w:rsidRDefault="001D4936" w:rsidP="001D4936">
                  <w:pPr>
                    <w:spacing w:after="0" w:line="240" w:lineRule="auto"/>
                    <w:jc w:val="center"/>
                    <w:rPr>
                      <w:szCs w:val="28"/>
                    </w:rPr>
                  </w:pPr>
                  <w:r>
                    <w:rPr>
                      <w:szCs w:val="28"/>
                    </w:rPr>
                    <w:t>UBND TỈNH QUẢNG NGÃI</w:t>
                  </w:r>
                </w:p>
                <w:p w14:paraId="61419499" w14:textId="77777777" w:rsidR="001D4936" w:rsidRDefault="001D4936" w:rsidP="001D4936">
                  <w:pPr>
                    <w:spacing w:after="0" w:line="240" w:lineRule="auto"/>
                    <w:jc w:val="center"/>
                    <w:rPr>
                      <w:b/>
                      <w:szCs w:val="28"/>
                    </w:rPr>
                  </w:pPr>
                  <w:r>
                    <w:rPr>
                      <w:b/>
                      <w:noProof/>
                      <w:szCs w:val="28"/>
                      <w:lang w:val="vi-VN" w:eastAsia="vi-VN"/>
                    </w:rPr>
                    <mc:AlternateContent>
                      <mc:Choice Requires="wps">
                        <w:drawing>
                          <wp:anchor distT="0" distB="0" distL="114300" distR="114300" simplePos="0" relativeHeight="251705344" behindDoc="0" locked="0" layoutInCell="1" allowOverlap="1" wp14:anchorId="6EA287DD" wp14:editId="6C431A0D">
                            <wp:simplePos x="0" y="0"/>
                            <wp:positionH relativeFrom="column">
                              <wp:posOffset>1788160</wp:posOffset>
                            </wp:positionH>
                            <wp:positionV relativeFrom="paragraph">
                              <wp:posOffset>218440</wp:posOffset>
                            </wp:positionV>
                            <wp:extent cx="602615" cy="0"/>
                            <wp:effectExtent l="12700" t="13335" r="1333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7092689" id="Straight Connector 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pt,17.2pt" to="188.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S1HAIAADU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"/>
                        </w:pict>
                      </mc:Fallback>
                    </mc:AlternateContent>
                  </w:r>
                  <w:r>
                    <w:rPr>
                      <w:b/>
                      <w:szCs w:val="28"/>
                    </w:rPr>
                    <w:t>SỞ GIÁO DỤC VÀ ĐÀO TẠO</w:t>
                  </w:r>
                </w:p>
              </w:tc>
              <w:tc>
                <w:tcPr>
                  <w:tcW w:w="7815" w:type="dxa"/>
                </w:tcPr>
                <w:p w14:paraId="2BEE99CF" w14:textId="77777777" w:rsidR="001D4936" w:rsidRDefault="001D4936" w:rsidP="001D4936">
                  <w:pPr>
                    <w:spacing w:after="0" w:line="240" w:lineRule="auto"/>
                    <w:jc w:val="center"/>
                    <w:rPr>
                      <w:b/>
                      <w:szCs w:val="28"/>
                    </w:rPr>
                  </w:pPr>
                  <w:r>
                    <w:rPr>
                      <w:b/>
                      <w:szCs w:val="28"/>
                    </w:rPr>
                    <w:t>CỘNG HÒA XÃ HỘI CHỦ NGHĨA VIỆT NAM</w:t>
                  </w:r>
                </w:p>
                <w:p w14:paraId="7B8F6713" w14:textId="77777777" w:rsidR="001D4936" w:rsidRDefault="001D4936" w:rsidP="001D4936">
                  <w:pPr>
                    <w:spacing w:after="0" w:line="240" w:lineRule="auto"/>
                    <w:jc w:val="center"/>
                    <w:rPr>
                      <w:b/>
                      <w:szCs w:val="28"/>
                    </w:rPr>
                  </w:pPr>
                  <w:r>
                    <w:rPr>
                      <w:b/>
                      <w:noProof/>
                      <w:szCs w:val="28"/>
                      <w:lang w:val="vi-VN" w:eastAsia="vi-VN"/>
                    </w:rPr>
                    <mc:AlternateContent>
                      <mc:Choice Requires="wps">
                        <w:drawing>
                          <wp:anchor distT="0" distB="0" distL="114300" distR="114300" simplePos="0" relativeHeight="251706368" behindDoc="0" locked="0" layoutInCell="1" allowOverlap="1" wp14:anchorId="654B4CCC" wp14:editId="14CE137E">
                            <wp:simplePos x="0" y="0"/>
                            <wp:positionH relativeFrom="column">
                              <wp:posOffset>1311275</wp:posOffset>
                            </wp:positionH>
                            <wp:positionV relativeFrom="paragraph">
                              <wp:posOffset>223520</wp:posOffset>
                            </wp:positionV>
                            <wp:extent cx="2171700" cy="0"/>
                            <wp:effectExtent l="12065" t="8890" r="698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9E6CD3C" id="Straight Connector 2"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5pt,17.6pt" to="274.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"/>
                        </w:pict>
                      </mc:Fallback>
                    </mc:AlternateContent>
                  </w:r>
                  <w:r>
                    <w:rPr>
                      <w:b/>
                      <w:szCs w:val="28"/>
                    </w:rPr>
                    <w:t>Độc lập - Tự do - Hạnh phúc</w:t>
                  </w:r>
                </w:p>
              </w:tc>
            </w:tr>
            <w:tr w:rsidR="001D4936" w14:paraId="21F6EFEC" w14:textId="77777777" w:rsidTr="003167F0">
              <w:tc>
                <w:tcPr>
                  <w:tcW w:w="7035" w:type="dxa"/>
                </w:tcPr>
                <w:p w14:paraId="02027BB8" w14:textId="77777777" w:rsidR="001D4936" w:rsidRDefault="001D4936" w:rsidP="001D4936">
                  <w:pPr>
                    <w:spacing w:after="0" w:line="240" w:lineRule="auto"/>
                    <w:jc w:val="center"/>
                    <w:rPr>
                      <w:b/>
                      <w:szCs w:val="28"/>
                    </w:rPr>
                  </w:pPr>
                </w:p>
              </w:tc>
              <w:tc>
                <w:tcPr>
                  <w:tcW w:w="7815" w:type="dxa"/>
                </w:tcPr>
                <w:p w14:paraId="3450FC97" w14:textId="7B3D0184" w:rsidR="001D4936" w:rsidRDefault="001D4936" w:rsidP="001D4936">
                  <w:pPr>
                    <w:spacing w:after="0" w:line="240" w:lineRule="auto"/>
                    <w:jc w:val="center"/>
                    <w:rPr>
                      <w:i/>
                      <w:szCs w:val="28"/>
                    </w:rPr>
                  </w:pPr>
                  <w:r>
                    <w:rPr>
                      <w:i/>
                      <w:szCs w:val="28"/>
                    </w:rPr>
                    <w:t xml:space="preserve">                Quả</w:t>
                  </w:r>
                  <w:r w:rsidR="00AC7F74">
                    <w:rPr>
                      <w:i/>
                      <w:szCs w:val="28"/>
                    </w:rPr>
                    <w:t xml:space="preserve">ng Ngãi, ngày      </w:t>
                  </w:r>
                  <w:r w:rsidR="007800B8">
                    <w:rPr>
                      <w:i/>
                      <w:szCs w:val="28"/>
                    </w:rPr>
                    <w:t xml:space="preserve"> </w:t>
                  </w:r>
                  <w:r w:rsidR="00AC7F74">
                    <w:rPr>
                      <w:i/>
                      <w:szCs w:val="28"/>
                    </w:rPr>
                    <w:t xml:space="preserve"> tháng  4 </w:t>
                  </w:r>
                  <w:r>
                    <w:rPr>
                      <w:i/>
                      <w:szCs w:val="28"/>
                    </w:rPr>
                    <w:t xml:space="preserve"> năm 2026</w:t>
                  </w:r>
                </w:p>
              </w:tc>
            </w:tr>
          </w:tbl>
          <w:p w14:paraId="195EEAA8" w14:textId="77777777" w:rsidR="001D4936" w:rsidRDefault="001D4936" w:rsidP="001D4936">
            <w:pPr>
              <w:jc w:val="center"/>
              <w:rPr>
                <w:b/>
                <w:szCs w:val="28"/>
              </w:rPr>
            </w:pPr>
          </w:p>
          <w:p w14:paraId="695CF22A" w14:textId="7AC39773" w:rsidR="001D4936" w:rsidRPr="009C4C44" w:rsidRDefault="001D4936" w:rsidP="001D4936">
            <w:pPr>
              <w:jc w:val="center"/>
              <w:rPr>
                <w:b/>
                <w:szCs w:val="28"/>
              </w:rPr>
            </w:pPr>
            <w:r w:rsidRPr="009C4C44">
              <w:rPr>
                <w:b/>
                <w:szCs w:val="28"/>
              </w:rPr>
              <w:t xml:space="preserve">BẢNG </w:t>
            </w:r>
            <w:r w:rsidR="009902E0">
              <w:rPr>
                <w:b/>
                <w:szCs w:val="28"/>
              </w:rPr>
              <w:t xml:space="preserve">SO SÁNH </w:t>
            </w:r>
            <w:r w:rsidRPr="009C4C44">
              <w:rPr>
                <w:b/>
                <w:szCs w:val="28"/>
              </w:rPr>
              <w:t>THUYẾT MINH</w:t>
            </w:r>
          </w:p>
          <w:p w14:paraId="2DC32BDF" w14:textId="77777777" w:rsidR="00F04290" w:rsidRDefault="001D4936" w:rsidP="001D4936">
            <w:pPr>
              <w:jc w:val="center"/>
              <w:rPr>
                <w:b/>
                <w:bCs/>
                <w:sz w:val="23"/>
                <w:szCs w:val="23"/>
              </w:rPr>
            </w:pPr>
            <w:r w:rsidRPr="009C4C44">
              <w:rPr>
                <w:b/>
                <w:szCs w:val="28"/>
                <w:lang w:val="nb-NO"/>
              </w:rPr>
              <w:t xml:space="preserve">Một số nội dung liên quan đến dự thảo </w:t>
            </w:r>
            <w:r w:rsidRPr="00327A90">
              <w:rPr>
                <w:b/>
                <w:szCs w:val="28"/>
                <w:lang w:val="nb-NO"/>
              </w:rPr>
              <w:t xml:space="preserve">Nghị quyết </w:t>
            </w:r>
            <w:r w:rsidRPr="001D4936">
              <w:rPr>
                <w:b/>
                <w:szCs w:val="28"/>
                <w:lang w:val="nb-NO"/>
              </w:rPr>
              <w:t xml:space="preserve">Quy định </w:t>
            </w:r>
            <w:r>
              <w:rPr>
                <w:b/>
                <w:szCs w:val="28"/>
                <w:lang w:val="nb-NO"/>
              </w:rPr>
              <w:t xml:space="preserve">                           </w:t>
            </w:r>
            <w:bookmarkStart w:id="0" w:name="_GoBack"/>
            <w:bookmarkEnd w:id="0"/>
            <w:r>
              <w:rPr>
                <w:b/>
                <w:szCs w:val="28"/>
                <w:lang w:val="nb-NO"/>
              </w:rPr>
              <w:t xml:space="preserve">                                                                                                       </w:t>
            </w:r>
            <w:r w:rsidRPr="001D4936">
              <w:rPr>
                <w:b/>
                <w:szCs w:val="28"/>
                <w:lang w:val="nb-NO"/>
              </w:rPr>
              <w:t xml:space="preserve">nội dung và mức chi thực hiện Đề án “Xây dựng xã hội học tập giai đoạn 2021-2030” </w:t>
            </w:r>
            <w:r>
              <w:rPr>
                <w:b/>
                <w:szCs w:val="28"/>
                <w:lang w:val="nb-NO"/>
              </w:rPr>
              <w:t xml:space="preserve">                                                                                        </w:t>
            </w:r>
            <w:r w:rsidRPr="001D4936">
              <w:rPr>
                <w:b/>
                <w:szCs w:val="28"/>
                <w:lang w:val="nb-NO"/>
              </w:rPr>
              <w:t>trên địa bàn tỉnh Quảng Ngãi</w:t>
            </w:r>
            <w:r w:rsidRPr="00792416">
              <w:rPr>
                <w:b/>
                <w:bCs/>
                <w:sz w:val="23"/>
                <w:szCs w:val="23"/>
              </w:rPr>
              <w:t xml:space="preserve">  </w:t>
            </w:r>
          </w:p>
          <w:p w14:paraId="3376D218" w14:textId="77777777" w:rsidR="001D4936" w:rsidRPr="00327A90" w:rsidRDefault="00F04290" w:rsidP="001D4936">
            <w:pPr>
              <w:jc w:val="center"/>
              <w:rPr>
                <w:b/>
                <w:szCs w:val="28"/>
                <w:lang w:val="nb-NO"/>
              </w:rPr>
            </w:pPr>
            <w:r>
              <w:rPr>
                <w:b/>
                <w:noProof/>
                <w:szCs w:val="28"/>
                <w:lang w:val="vi-VN" w:eastAsia="vi-VN"/>
              </w:rPr>
              <mc:AlternateContent>
                <mc:Choice Requires="wps">
                  <w:drawing>
                    <wp:anchor distT="0" distB="0" distL="114300" distR="114300" simplePos="0" relativeHeight="251708416" behindDoc="0" locked="0" layoutInCell="1" allowOverlap="1" wp14:anchorId="40CE7309" wp14:editId="4B1FE4D4">
                      <wp:simplePos x="0" y="0"/>
                      <wp:positionH relativeFrom="column">
                        <wp:posOffset>4262755</wp:posOffset>
                      </wp:positionH>
                      <wp:positionV relativeFrom="paragraph">
                        <wp:posOffset>71755</wp:posOffset>
                      </wp:positionV>
                      <wp:extent cx="10795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581CA68" id="Straight Connector 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65pt,5.65pt" to="420.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2qB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p8U0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"/>
                  </w:pict>
                </mc:Fallback>
              </mc:AlternateContent>
            </w:r>
            <w:r w:rsidR="001D4936" w:rsidRPr="00792416">
              <w:rPr>
                <w:b/>
                <w:bCs/>
                <w:sz w:val="23"/>
                <w:szCs w:val="23"/>
              </w:rPr>
              <w:t xml:space="preserve"> </w:t>
            </w:r>
          </w:p>
          <w:p w14:paraId="7066B284" w14:textId="77777777" w:rsidR="001D4936" w:rsidRDefault="009D3F9C" w:rsidP="009D3F9C">
            <w:pPr>
              <w:jc w:val="both"/>
              <w:rPr>
                <w:b/>
                <w:szCs w:val="28"/>
                <w:lang w:val="nb-NO"/>
              </w:rPr>
            </w:pPr>
            <w:r>
              <w:rPr>
                <w:b/>
                <w:noProof/>
                <w:szCs w:val="28"/>
                <w:lang w:val="vi-VN" w:eastAsia="vi-VN"/>
              </w:rPr>
              <w:t xml:space="preserve">I. </w:t>
            </w:r>
            <w:r w:rsidR="001D4936">
              <w:rPr>
                <w:b/>
                <w:szCs w:val="28"/>
                <w:lang w:val="nb-NO"/>
              </w:rPr>
              <w:t>Về trích yếu, bố cục và căn cứ ban hành Nghị quyết</w:t>
            </w:r>
          </w:p>
          <w:p w14:paraId="2EDB5CF4" w14:textId="77777777" w:rsidR="00E7493E" w:rsidRDefault="00E7493E" w:rsidP="009D3F9C">
            <w:pPr>
              <w:jc w:val="both"/>
              <w:rPr>
                <w:b/>
                <w:szCs w:val="28"/>
                <w:lang w:val="nb-NO"/>
              </w:rPr>
            </w:pPr>
          </w:p>
          <w:tbl>
            <w:tblPr>
              <w:tblStyle w:val="TableGrid"/>
              <w:tblW w:w="15333" w:type="dxa"/>
              <w:tblLayout w:type="fixed"/>
              <w:tblLook w:val="04A0" w:firstRow="1" w:lastRow="0" w:firstColumn="1" w:lastColumn="0" w:noHBand="0" w:noVBand="1"/>
            </w:tblPr>
            <w:tblGrid>
              <w:gridCol w:w="422"/>
              <w:gridCol w:w="1552"/>
              <w:gridCol w:w="3402"/>
              <w:gridCol w:w="3827"/>
              <w:gridCol w:w="3402"/>
              <w:gridCol w:w="2728"/>
            </w:tblGrid>
            <w:tr w:rsidR="00E7493E" w14:paraId="6F4931BE" w14:textId="77777777" w:rsidTr="00C7557C">
              <w:tc>
                <w:tcPr>
                  <w:tcW w:w="422" w:type="dxa"/>
                </w:tcPr>
                <w:p w14:paraId="3089BECE" w14:textId="77777777" w:rsidR="00E7493E" w:rsidRPr="00E7493E" w:rsidRDefault="00E7493E" w:rsidP="00E7493E">
                  <w:pPr>
                    <w:spacing w:before="60" w:after="60"/>
                    <w:jc w:val="center"/>
                    <w:rPr>
                      <w:rFonts w:cs="Times New Roman"/>
                      <w:b/>
                      <w:bCs/>
                      <w:sz w:val="24"/>
                      <w:szCs w:val="24"/>
                    </w:rPr>
                  </w:pPr>
                  <w:r w:rsidRPr="00E7493E">
                    <w:rPr>
                      <w:rFonts w:cs="Times New Roman"/>
                      <w:b/>
                      <w:bCs/>
                      <w:sz w:val="24"/>
                      <w:szCs w:val="24"/>
                    </w:rPr>
                    <w:t>TT</w:t>
                  </w:r>
                </w:p>
              </w:tc>
              <w:tc>
                <w:tcPr>
                  <w:tcW w:w="1552" w:type="dxa"/>
                  <w:vAlign w:val="center"/>
                </w:tcPr>
                <w:p w14:paraId="2F69A739" w14:textId="77777777" w:rsidR="00E7493E" w:rsidRPr="00E7493E" w:rsidRDefault="00E7493E" w:rsidP="00E7493E">
                  <w:pPr>
                    <w:spacing w:before="60" w:after="60"/>
                    <w:ind w:right="-148"/>
                    <w:jc w:val="center"/>
                    <w:rPr>
                      <w:rFonts w:cs="Times New Roman"/>
                      <w:b/>
                      <w:bCs/>
                      <w:sz w:val="24"/>
                      <w:szCs w:val="24"/>
                    </w:rPr>
                  </w:pPr>
                  <w:r w:rsidRPr="00E7493E">
                    <w:rPr>
                      <w:rFonts w:cs="Times New Roman"/>
                      <w:b/>
                      <w:bCs/>
                      <w:sz w:val="24"/>
                      <w:szCs w:val="24"/>
                    </w:rPr>
                    <w:t>Nội dung</w:t>
                  </w:r>
                </w:p>
              </w:tc>
              <w:tc>
                <w:tcPr>
                  <w:tcW w:w="3402" w:type="dxa"/>
                </w:tcPr>
                <w:p w14:paraId="03410D01" w14:textId="77777777" w:rsidR="00E7493E" w:rsidRPr="00E7493E" w:rsidRDefault="00E7493E" w:rsidP="00E7493E">
                  <w:pPr>
                    <w:shd w:val="clear" w:color="auto" w:fill="FFFFFF"/>
                    <w:spacing w:line="234" w:lineRule="atLeast"/>
                    <w:jc w:val="center"/>
                    <w:rPr>
                      <w:rFonts w:cs="Times New Roman"/>
                      <w:b/>
                      <w:bCs/>
                      <w:sz w:val="24"/>
                      <w:szCs w:val="24"/>
                    </w:rPr>
                  </w:pPr>
                  <w:r w:rsidRPr="00E7493E">
                    <w:rPr>
                      <w:rFonts w:cs="Times New Roman"/>
                      <w:b/>
                      <w:bCs/>
                      <w:sz w:val="24"/>
                      <w:szCs w:val="24"/>
                    </w:rPr>
                    <w:t xml:space="preserve">Nghị quyết số 21/2022/NQ-HĐND ngày 12/9/2022 của HĐND tỉnh Quảng Ngãi </w:t>
                  </w:r>
                  <w:r w:rsidRPr="00E7493E">
                    <w:rPr>
                      <w:rFonts w:eastAsia="Yu Gothic" w:cs="Times New Roman"/>
                      <w:b/>
                      <w:bCs/>
                      <w:sz w:val="24"/>
                      <w:szCs w:val="24"/>
                    </w:rPr>
                    <w:t>Quy định nội dung và mức chi thực hiện Đề án “Xây dựng xã hội học tập giai đoạn 2021-2030” trên địa bàn tỉnh Quảng Ngãi</w:t>
                  </w:r>
                </w:p>
              </w:tc>
              <w:tc>
                <w:tcPr>
                  <w:tcW w:w="3827" w:type="dxa"/>
                  <w:vAlign w:val="center"/>
                </w:tcPr>
                <w:p w14:paraId="719C83ED" w14:textId="77777777" w:rsidR="00E7493E" w:rsidRPr="00E7493E" w:rsidRDefault="00E7493E" w:rsidP="00E7493E">
                  <w:pPr>
                    <w:shd w:val="clear" w:color="auto" w:fill="FFFFFF"/>
                    <w:spacing w:line="234" w:lineRule="atLeast"/>
                    <w:jc w:val="center"/>
                    <w:rPr>
                      <w:rFonts w:cs="Times New Roman"/>
                      <w:b/>
                      <w:bCs/>
                      <w:sz w:val="24"/>
                      <w:szCs w:val="24"/>
                    </w:rPr>
                  </w:pPr>
                  <w:r w:rsidRPr="00E7493E">
                    <w:rPr>
                      <w:rFonts w:cs="Times New Roman"/>
                      <w:b/>
                      <w:bCs/>
                      <w:sz w:val="24"/>
                      <w:szCs w:val="24"/>
                    </w:rPr>
                    <w:t xml:space="preserve">Nghị quyết số 58/2022/NQ-HĐND ngày 29/8/2022 và số 97/2024/NQ-HĐND ngày 09/12/2024 của HĐND tỉnh Kon Tum </w:t>
                  </w:r>
                  <w:bookmarkStart w:id="1" w:name="loai_1_name"/>
                  <w:r w:rsidRPr="00E7493E">
                    <w:rPr>
                      <w:rFonts w:cs="Times New Roman"/>
                      <w:b/>
                      <w:sz w:val="24"/>
                      <w:szCs w:val="24"/>
                    </w:rPr>
                    <w:t xml:space="preserve">Quy định nội dung, mức chi thực hiện </w:t>
                  </w:r>
                  <w:r w:rsidR="00C7557C" w:rsidRPr="00E7493E">
                    <w:rPr>
                      <w:rFonts w:cs="Times New Roman"/>
                      <w:b/>
                      <w:sz w:val="24"/>
                      <w:szCs w:val="24"/>
                    </w:rPr>
                    <w:t xml:space="preserve">Đề </w:t>
                  </w:r>
                  <w:r w:rsidRPr="00E7493E">
                    <w:rPr>
                      <w:rFonts w:cs="Times New Roman"/>
                      <w:b/>
                      <w:sz w:val="24"/>
                      <w:szCs w:val="24"/>
                    </w:rPr>
                    <w:t>án “xây dựng xã hội học tập giai đoạn 2021 - 2030” và hỗ trợ người dân tham gia học xóa mù chữ trên địa bàn tỉnh Kon Tum</w:t>
                  </w:r>
                  <w:bookmarkEnd w:id="1"/>
                </w:p>
              </w:tc>
              <w:tc>
                <w:tcPr>
                  <w:tcW w:w="3402" w:type="dxa"/>
                  <w:vAlign w:val="center"/>
                </w:tcPr>
                <w:p w14:paraId="1C7E0D85" w14:textId="77777777" w:rsidR="00E7493E" w:rsidRPr="00E7493E" w:rsidRDefault="00E7493E" w:rsidP="00E7493E">
                  <w:pPr>
                    <w:spacing w:before="60" w:after="60"/>
                    <w:jc w:val="center"/>
                    <w:rPr>
                      <w:rFonts w:cs="Times New Roman"/>
                      <w:b/>
                      <w:bCs/>
                      <w:sz w:val="24"/>
                      <w:szCs w:val="24"/>
                    </w:rPr>
                  </w:pPr>
                  <w:r w:rsidRPr="00E7493E">
                    <w:rPr>
                      <w:rFonts w:cs="Times New Roman"/>
                      <w:b/>
                      <w:bCs/>
                      <w:sz w:val="24"/>
                      <w:szCs w:val="24"/>
                    </w:rPr>
                    <w:t xml:space="preserve">Dự thảo Nghị quyết </w:t>
                  </w:r>
                  <w:r w:rsidRPr="00E7493E">
                    <w:rPr>
                      <w:rFonts w:eastAsia="Yu Gothic" w:cs="Times New Roman"/>
                      <w:b/>
                      <w:bCs/>
                      <w:sz w:val="24"/>
                      <w:szCs w:val="24"/>
                    </w:rPr>
                    <w:t>Quy định nội dung và mức chi thực hiện Đề án “Xây dựng xã hội học tập giai đoạn 2021-2030” trên địa bàn tỉnh Quảng Ngãi</w:t>
                  </w:r>
                  <w:r w:rsidRPr="00E7493E">
                    <w:rPr>
                      <w:rFonts w:cs="Times New Roman"/>
                      <w:b/>
                      <w:bCs/>
                      <w:sz w:val="24"/>
                      <w:szCs w:val="24"/>
                    </w:rPr>
                    <w:t xml:space="preserve"> </w:t>
                  </w:r>
                </w:p>
              </w:tc>
              <w:tc>
                <w:tcPr>
                  <w:tcW w:w="2728" w:type="dxa"/>
                  <w:vAlign w:val="center"/>
                </w:tcPr>
                <w:p w14:paraId="2AD95972" w14:textId="77777777" w:rsidR="00E7493E" w:rsidRPr="00E7493E" w:rsidRDefault="00E7493E" w:rsidP="00E7493E">
                  <w:pPr>
                    <w:spacing w:before="60" w:after="60"/>
                    <w:jc w:val="center"/>
                    <w:rPr>
                      <w:rFonts w:cs="Times New Roman"/>
                      <w:b/>
                      <w:bCs/>
                      <w:sz w:val="24"/>
                      <w:szCs w:val="24"/>
                    </w:rPr>
                  </w:pPr>
                  <w:r w:rsidRPr="00E7493E">
                    <w:rPr>
                      <w:rFonts w:cs="Times New Roman"/>
                      <w:b/>
                      <w:bCs/>
                      <w:sz w:val="24"/>
                      <w:szCs w:val="24"/>
                    </w:rPr>
                    <w:t>Thuyết minh</w:t>
                  </w:r>
                </w:p>
              </w:tc>
            </w:tr>
            <w:tr w:rsidR="00E7493E" w14:paraId="446B74BF" w14:textId="77777777" w:rsidTr="00C7557C">
              <w:tc>
                <w:tcPr>
                  <w:tcW w:w="422" w:type="dxa"/>
                </w:tcPr>
                <w:p w14:paraId="6606433A" w14:textId="77777777" w:rsidR="00E7493E" w:rsidRPr="00E7493E" w:rsidRDefault="00040BA1" w:rsidP="00E7493E">
                  <w:pPr>
                    <w:jc w:val="center"/>
                    <w:rPr>
                      <w:rFonts w:cs="Times New Roman"/>
                      <w:b/>
                      <w:sz w:val="24"/>
                      <w:szCs w:val="24"/>
                    </w:rPr>
                  </w:pPr>
                  <w:r>
                    <w:rPr>
                      <w:rFonts w:cs="Times New Roman"/>
                      <w:b/>
                      <w:sz w:val="24"/>
                      <w:szCs w:val="24"/>
                    </w:rPr>
                    <w:t>1</w:t>
                  </w:r>
                </w:p>
              </w:tc>
              <w:tc>
                <w:tcPr>
                  <w:tcW w:w="1552" w:type="dxa"/>
                </w:tcPr>
                <w:p w14:paraId="194DF5FE" w14:textId="77777777" w:rsidR="00E7493E" w:rsidRPr="00040BA1" w:rsidRDefault="002018ED" w:rsidP="00E7493E">
                  <w:pPr>
                    <w:shd w:val="clear" w:color="auto" w:fill="FFFFFF"/>
                    <w:rPr>
                      <w:rFonts w:cs="Times New Roman"/>
                      <w:b/>
                      <w:sz w:val="24"/>
                      <w:szCs w:val="24"/>
                    </w:rPr>
                  </w:pPr>
                  <w:r>
                    <w:rPr>
                      <w:b/>
                      <w:sz w:val="22"/>
                      <w:lang w:val="nb-NO"/>
                    </w:rPr>
                    <w:t>T</w:t>
                  </w:r>
                  <w:r w:rsidR="00040BA1" w:rsidRPr="00040BA1">
                    <w:rPr>
                      <w:b/>
                      <w:sz w:val="22"/>
                      <w:lang w:val="nb-NO"/>
                    </w:rPr>
                    <w:t>rích yế</w:t>
                  </w:r>
                  <w:r>
                    <w:rPr>
                      <w:b/>
                      <w:sz w:val="22"/>
                      <w:lang w:val="nb-NO"/>
                    </w:rPr>
                    <w:t>u</w:t>
                  </w:r>
                </w:p>
              </w:tc>
              <w:tc>
                <w:tcPr>
                  <w:tcW w:w="3402" w:type="dxa"/>
                </w:tcPr>
                <w:p w14:paraId="5EE2D6A8" w14:textId="77777777" w:rsidR="00E7493E" w:rsidRPr="00E7493E" w:rsidRDefault="004E6262" w:rsidP="00E7493E">
                  <w:pPr>
                    <w:shd w:val="clear" w:color="auto" w:fill="FFFFFF"/>
                    <w:rPr>
                      <w:rFonts w:cs="Times New Roman"/>
                      <w:sz w:val="24"/>
                      <w:szCs w:val="24"/>
                    </w:rPr>
                  </w:pPr>
                  <w:r w:rsidRPr="00E7493E">
                    <w:rPr>
                      <w:rFonts w:cs="Times New Roman"/>
                      <w:sz w:val="24"/>
                      <w:szCs w:val="24"/>
                    </w:rPr>
                    <w:t xml:space="preserve">Quy </w:t>
                  </w:r>
                  <w:r w:rsidR="00E7493E" w:rsidRPr="00E7493E">
                    <w:rPr>
                      <w:rFonts w:cs="Times New Roman"/>
                      <w:sz w:val="24"/>
                      <w:szCs w:val="24"/>
                    </w:rPr>
                    <w:t>định nội dung và mức chi thực hiện Đề án “Xây dựng xã hội học tập giai đoạn 2021 - 2030” trên địa bàn tỉnh Quảng Ngãi.</w:t>
                  </w:r>
                </w:p>
                <w:p w14:paraId="3F51CC83" w14:textId="77777777" w:rsidR="00E7493E" w:rsidRPr="00E7493E" w:rsidRDefault="00E7493E" w:rsidP="00E7493E">
                  <w:pPr>
                    <w:shd w:val="clear" w:color="auto" w:fill="FFFFFF"/>
                    <w:rPr>
                      <w:rFonts w:cs="Times New Roman"/>
                      <w:sz w:val="24"/>
                      <w:szCs w:val="24"/>
                    </w:rPr>
                  </w:pPr>
                </w:p>
                <w:p w14:paraId="401FA37E" w14:textId="77777777" w:rsidR="00E7493E" w:rsidRPr="00E7493E" w:rsidRDefault="00E7493E" w:rsidP="00E7493E">
                  <w:pPr>
                    <w:jc w:val="both"/>
                    <w:rPr>
                      <w:rFonts w:cs="Times New Roman"/>
                      <w:b/>
                      <w:bCs/>
                      <w:sz w:val="24"/>
                      <w:szCs w:val="24"/>
                    </w:rPr>
                  </w:pPr>
                </w:p>
              </w:tc>
              <w:tc>
                <w:tcPr>
                  <w:tcW w:w="3827" w:type="dxa"/>
                </w:tcPr>
                <w:p w14:paraId="18CFF3D0" w14:textId="77777777" w:rsidR="00E7493E" w:rsidRPr="00E7493E" w:rsidRDefault="004E6262" w:rsidP="00E7493E">
                  <w:pPr>
                    <w:shd w:val="clear" w:color="auto" w:fill="FFFFFF"/>
                    <w:ind w:right="-108"/>
                    <w:rPr>
                      <w:rFonts w:cs="Times New Roman"/>
                      <w:sz w:val="24"/>
                      <w:szCs w:val="24"/>
                    </w:rPr>
                  </w:pPr>
                  <w:r w:rsidRPr="00E7493E">
                    <w:rPr>
                      <w:rFonts w:cs="Times New Roman"/>
                      <w:sz w:val="24"/>
                      <w:szCs w:val="24"/>
                    </w:rPr>
                    <w:t xml:space="preserve">Quy </w:t>
                  </w:r>
                  <w:r w:rsidR="00E7493E" w:rsidRPr="00E7493E">
                    <w:rPr>
                      <w:rFonts w:cs="Times New Roman"/>
                      <w:sz w:val="24"/>
                      <w:szCs w:val="24"/>
                    </w:rPr>
                    <w:t>định nội dung, mức chi để thực hiện Đề án </w:t>
                  </w:r>
                  <w:r w:rsidR="00E7493E" w:rsidRPr="00C7557C">
                    <w:rPr>
                      <w:rFonts w:cs="Times New Roman"/>
                      <w:iCs/>
                      <w:sz w:val="24"/>
                      <w:szCs w:val="24"/>
                    </w:rPr>
                    <w:t>“Xây dựng xã hội học tập giai đoạn 2021-2030”</w:t>
                  </w:r>
                  <w:r w:rsidR="00E7493E" w:rsidRPr="00E7493E">
                    <w:rPr>
                      <w:rFonts w:cs="Times New Roman"/>
                      <w:sz w:val="24"/>
                      <w:szCs w:val="24"/>
                    </w:rPr>
                    <w:t> và hỗ trợ người dân tham gia học xóa mù chữ trên địa bàn tỉnh Kon Tum.</w:t>
                  </w:r>
                </w:p>
                <w:p w14:paraId="7CC940A2" w14:textId="77777777" w:rsidR="00E7493E" w:rsidRPr="00E7493E" w:rsidRDefault="00E7493E" w:rsidP="00E7493E">
                  <w:pPr>
                    <w:shd w:val="clear" w:color="auto" w:fill="FFFFFF"/>
                    <w:rPr>
                      <w:rFonts w:cs="Times New Roman"/>
                      <w:b/>
                      <w:bCs/>
                      <w:sz w:val="24"/>
                      <w:szCs w:val="24"/>
                    </w:rPr>
                  </w:pPr>
                </w:p>
              </w:tc>
              <w:tc>
                <w:tcPr>
                  <w:tcW w:w="3402" w:type="dxa"/>
                </w:tcPr>
                <w:p w14:paraId="4FC19165" w14:textId="77777777" w:rsidR="00E7493E" w:rsidRPr="00E7493E" w:rsidRDefault="004E6262" w:rsidP="00C7557C">
                  <w:pPr>
                    <w:shd w:val="clear" w:color="auto" w:fill="FFFFFF"/>
                    <w:jc w:val="both"/>
                    <w:rPr>
                      <w:rFonts w:cs="Times New Roman"/>
                      <w:sz w:val="24"/>
                      <w:szCs w:val="24"/>
                    </w:rPr>
                  </w:pPr>
                  <w:r w:rsidRPr="00E7493E">
                    <w:rPr>
                      <w:rFonts w:cs="Times New Roman"/>
                      <w:sz w:val="24"/>
                      <w:szCs w:val="24"/>
                    </w:rPr>
                    <w:t xml:space="preserve">Quy </w:t>
                  </w:r>
                  <w:r w:rsidR="00E7493E" w:rsidRPr="00E7493E">
                    <w:rPr>
                      <w:rFonts w:cs="Times New Roman"/>
                      <w:sz w:val="24"/>
                      <w:szCs w:val="24"/>
                    </w:rPr>
                    <w:t>định nội dung và mức chi thực hiện Đề án “Xây dựng xã hội học tập giai đoạn 2021 - 2030” và hỗ trợ người dân tham gia học xóa mù chữ trên địa bàn tỉnh Quảng Ngãi.</w:t>
                  </w:r>
                </w:p>
                <w:p w14:paraId="4FF3A3FC" w14:textId="77777777" w:rsidR="00E7493E" w:rsidRPr="00E7493E" w:rsidRDefault="00E7493E" w:rsidP="00E7493E">
                  <w:pPr>
                    <w:shd w:val="clear" w:color="auto" w:fill="FFFFFF"/>
                    <w:rPr>
                      <w:rFonts w:cs="Times New Roman"/>
                      <w:sz w:val="24"/>
                      <w:szCs w:val="24"/>
                    </w:rPr>
                  </w:pPr>
                </w:p>
              </w:tc>
              <w:tc>
                <w:tcPr>
                  <w:tcW w:w="2728" w:type="dxa"/>
                </w:tcPr>
                <w:p w14:paraId="50E6E1A6" w14:textId="77777777" w:rsidR="00E7493E" w:rsidRPr="00E7493E" w:rsidRDefault="00E7493E" w:rsidP="00E7493E">
                  <w:pPr>
                    <w:pStyle w:val="Other0"/>
                    <w:spacing w:after="0"/>
                    <w:ind w:left="44" w:right="-108" w:firstLine="0"/>
                    <w:jc w:val="both"/>
                    <w:rPr>
                      <w:sz w:val="24"/>
                      <w:szCs w:val="24"/>
                    </w:rPr>
                  </w:pPr>
                  <w:r w:rsidRPr="00E7493E">
                    <w:rPr>
                      <w:bCs/>
                      <w:sz w:val="24"/>
                      <w:szCs w:val="24"/>
                    </w:rPr>
                    <w:t xml:space="preserve">Kế </w:t>
                  </w:r>
                  <w:r w:rsidRPr="004E6262">
                    <w:rPr>
                      <w:bCs/>
                      <w:sz w:val="24"/>
                      <w:szCs w:val="24"/>
                    </w:rPr>
                    <w:t xml:space="preserve">thừa </w:t>
                  </w:r>
                  <w:r w:rsidR="004E6262" w:rsidRPr="004E6262">
                    <w:rPr>
                      <w:rFonts w:cs="Times New Roman"/>
                      <w:bCs/>
                      <w:sz w:val="24"/>
                      <w:szCs w:val="24"/>
                    </w:rPr>
                    <w:t xml:space="preserve">Nghị quyết số 21/2022/NQ-HĐND ngày 12/9/2022 của HĐND tỉnh Quảng Ngãi </w:t>
                  </w:r>
                  <w:r w:rsidR="004E6262" w:rsidRPr="004E6262">
                    <w:rPr>
                      <w:rFonts w:eastAsia="Yu Gothic" w:cs="Times New Roman"/>
                      <w:bCs/>
                      <w:sz w:val="24"/>
                      <w:szCs w:val="24"/>
                    </w:rPr>
                    <w:t>Quy định nội dung và mức chi thực hiện Đề án “Xây dựng xã hội học tập giai đoạn 2021-2030” trên địa bàn tỉnh Quảng Ngãi</w:t>
                  </w:r>
                </w:p>
              </w:tc>
            </w:tr>
            <w:tr w:rsidR="00E7493E" w14:paraId="7E74DA0F" w14:textId="77777777" w:rsidTr="00C7557C">
              <w:tc>
                <w:tcPr>
                  <w:tcW w:w="422" w:type="dxa"/>
                </w:tcPr>
                <w:p w14:paraId="696A9C40" w14:textId="77777777" w:rsidR="00E7493E" w:rsidRPr="00026635" w:rsidRDefault="00E1662E" w:rsidP="00E7493E">
                  <w:pPr>
                    <w:spacing w:before="60" w:after="60"/>
                    <w:jc w:val="center"/>
                    <w:rPr>
                      <w:rFonts w:cs="Times New Roman"/>
                      <w:b/>
                      <w:sz w:val="23"/>
                      <w:szCs w:val="23"/>
                    </w:rPr>
                  </w:pPr>
                  <w:r w:rsidRPr="00026635">
                    <w:rPr>
                      <w:rFonts w:cs="Times New Roman"/>
                      <w:b/>
                      <w:sz w:val="23"/>
                      <w:szCs w:val="23"/>
                    </w:rPr>
                    <w:t>2</w:t>
                  </w:r>
                </w:p>
              </w:tc>
              <w:tc>
                <w:tcPr>
                  <w:tcW w:w="1552" w:type="dxa"/>
                </w:tcPr>
                <w:p w14:paraId="39F92D6D" w14:textId="77777777" w:rsidR="00E7493E" w:rsidRPr="00026635" w:rsidRDefault="00E1662E" w:rsidP="00E7493E">
                  <w:pPr>
                    <w:shd w:val="clear" w:color="auto" w:fill="FFFFFF"/>
                    <w:spacing w:line="234" w:lineRule="atLeast"/>
                    <w:rPr>
                      <w:rFonts w:cs="Times New Roman"/>
                      <w:b/>
                      <w:bCs/>
                      <w:sz w:val="23"/>
                      <w:szCs w:val="23"/>
                    </w:rPr>
                  </w:pPr>
                  <w:r w:rsidRPr="00026635">
                    <w:rPr>
                      <w:rFonts w:cs="Times New Roman"/>
                      <w:b/>
                      <w:bCs/>
                      <w:sz w:val="23"/>
                      <w:szCs w:val="23"/>
                    </w:rPr>
                    <w:t>Bố cục</w:t>
                  </w:r>
                </w:p>
              </w:tc>
              <w:tc>
                <w:tcPr>
                  <w:tcW w:w="3402" w:type="dxa"/>
                </w:tcPr>
                <w:p w14:paraId="275070D6" w14:textId="77777777" w:rsidR="00D61DBE" w:rsidRPr="00407B7F" w:rsidRDefault="00817066" w:rsidP="00817066">
                  <w:pPr>
                    <w:shd w:val="clear" w:color="auto" w:fill="FFFFFF"/>
                    <w:spacing w:line="234" w:lineRule="atLeast"/>
                    <w:rPr>
                      <w:rFonts w:cs="Times New Roman"/>
                      <w:b/>
                      <w:sz w:val="24"/>
                      <w:szCs w:val="24"/>
                    </w:rPr>
                  </w:pPr>
                  <w:r w:rsidRPr="00407B7F">
                    <w:rPr>
                      <w:rFonts w:cs="Times New Roman"/>
                      <w:b/>
                      <w:sz w:val="24"/>
                      <w:szCs w:val="24"/>
                    </w:rPr>
                    <w:t xml:space="preserve">Có 05 điều: </w:t>
                  </w:r>
                  <w:bookmarkStart w:id="2" w:name="dieu_1"/>
                </w:p>
                <w:p w14:paraId="54058B19" w14:textId="77777777" w:rsidR="00817066" w:rsidRPr="000314C8" w:rsidRDefault="00817066" w:rsidP="00817066">
                  <w:pPr>
                    <w:shd w:val="clear" w:color="auto" w:fill="FFFFFF"/>
                    <w:spacing w:line="234" w:lineRule="atLeast"/>
                    <w:rPr>
                      <w:rFonts w:eastAsia="Times New Roman" w:cs="Times New Roman"/>
                      <w:color w:val="000000"/>
                      <w:sz w:val="24"/>
                      <w:szCs w:val="24"/>
                    </w:rPr>
                  </w:pPr>
                  <w:r w:rsidRPr="000314C8">
                    <w:rPr>
                      <w:rFonts w:eastAsia="Times New Roman" w:cs="Times New Roman"/>
                      <w:bCs/>
                      <w:color w:val="000000"/>
                      <w:sz w:val="24"/>
                      <w:szCs w:val="24"/>
                    </w:rPr>
                    <w:t>Điều 1. Phạm vi điều chỉnh và đối tượng áp dụng</w:t>
                  </w:r>
                  <w:bookmarkEnd w:id="2"/>
                </w:p>
                <w:p w14:paraId="73B61140" w14:textId="77777777" w:rsidR="00817066" w:rsidRPr="000314C8" w:rsidRDefault="00817066" w:rsidP="00817066">
                  <w:pPr>
                    <w:shd w:val="clear" w:color="auto" w:fill="FFFFFF"/>
                    <w:spacing w:line="234" w:lineRule="atLeast"/>
                    <w:rPr>
                      <w:rFonts w:eastAsia="Times New Roman" w:cs="Times New Roman"/>
                      <w:color w:val="000000"/>
                      <w:sz w:val="24"/>
                      <w:szCs w:val="24"/>
                    </w:rPr>
                  </w:pPr>
                  <w:bookmarkStart w:id="3" w:name="dieu_2"/>
                  <w:r w:rsidRPr="000314C8">
                    <w:rPr>
                      <w:rFonts w:eastAsia="Times New Roman" w:cs="Times New Roman"/>
                      <w:bCs/>
                      <w:color w:val="000000"/>
                      <w:sz w:val="24"/>
                      <w:szCs w:val="24"/>
                    </w:rPr>
                    <w:lastRenderedPageBreak/>
                    <w:t>Điều 2. Nội dung và mức chi</w:t>
                  </w:r>
                  <w:bookmarkEnd w:id="3"/>
                </w:p>
                <w:p w14:paraId="2AC0B5EB" w14:textId="77777777" w:rsidR="00817066" w:rsidRPr="000314C8" w:rsidRDefault="00817066" w:rsidP="006D0CB6">
                  <w:pPr>
                    <w:shd w:val="clear" w:color="auto" w:fill="FFFFFF"/>
                    <w:spacing w:line="234" w:lineRule="atLeast"/>
                    <w:ind w:right="-108"/>
                    <w:rPr>
                      <w:rFonts w:eastAsia="Times New Roman" w:cs="Times New Roman"/>
                      <w:color w:val="000000"/>
                      <w:sz w:val="24"/>
                      <w:szCs w:val="24"/>
                    </w:rPr>
                  </w:pPr>
                  <w:bookmarkStart w:id="4" w:name="dieu_3"/>
                  <w:r w:rsidRPr="000314C8">
                    <w:rPr>
                      <w:rFonts w:eastAsia="Times New Roman" w:cs="Times New Roman"/>
                      <w:bCs/>
                      <w:color w:val="000000"/>
                      <w:sz w:val="24"/>
                      <w:szCs w:val="24"/>
                    </w:rPr>
                    <w:t>Điều 3. Nguồn kinh phí thực hiện</w:t>
                  </w:r>
                  <w:bookmarkEnd w:id="4"/>
                </w:p>
                <w:p w14:paraId="3E0FC0FA" w14:textId="77777777" w:rsidR="00817066" w:rsidRPr="000314C8" w:rsidRDefault="00817066" w:rsidP="00817066">
                  <w:pPr>
                    <w:shd w:val="clear" w:color="auto" w:fill="FFFFFF"/>
                    <w:spacing w:line="234" w:lineRule="atLeast"/>
                    <w:rPr>
                      <w:rFonts w:eastAsia="Times New Roman" w:cs="Times New Roman"/>
                      <w:color w:val="000000"/>
                      <w:sz w:val="24"/>
                      <w:szCs w:val="24"/>
                    </w:rPr>
                  </w:pPr>
                  <w:bookmarkStart w:id="5" w:name="dieu_4"/>
                  <w:r w:rsidRPr="000314C8">
                    <w:rPr>
                      <w:rFonts w:eastAsia="Times New Roman" w:cs="Times New Roman"/>
                      <w:bCs/>
                      <w:color w:val="000000"/>
                      <w:sz w:val="24"/>
                      <w:szCs w:val="24"/>
                    </w:rPr>
                    <w:t>Điều 4. Tổ chức thực hiện</w:t>
                  </w:r>
                  <w:bookmarkEnd w:id="5"/>
                </w:p>
                <w:p w14:paraId="7D6B1108" w14:textId="77777777" w:rsidR="00E7493E" w:rsidRPr="00D61DBE" w:rsidRDefault="00817066" w:rsidP="00D61DBE">
                  <w:pPr>
                    <w:shd w:val="clear" w:color="auto" w:fill="FFFFFF"/>
                    <w:spacing w:line="234" w:lineRule="atLeast"/>
                    <w:rPr>
                      <w:rFonts w:ascii="Arial" w:eastAsia="Times New Roman" w:hAnsi="Arial" w:cs="Arial"/>
                      <w:color w:val="000000"/>
                      <w:sz w:val="18"/>
                      <w:szCs w:val="18"/>
                    </w:rPr>
                  </w:pPr>
                  <w:bookmarkStart w:id="6" w:name="dieu_5"/>
                  <w:r w:rsidRPr="000314C8">
                    <w:rPr>
                      <w:rFonts w:eastAsia="Times New Roman" w:cs="Times New Roman"/>
                      <w:bCs/>
                      <w:color w:val="000000"/>
                      <w:sz w:val="24"/>
                      <w:szCs w:val="24"/>
                    </w:rPr>
                    <w:t>Điều 5. Hiệu lực thi hành</w:t>
                  </w:r>
                  <w:bookmarkEnd w:id="6"/>
                </w:p>
              </w:tc>
              <w:tc>
                <w:tcPr>
                  <w:tcW w:w="3827" w:type="dxa"/>
                </w:tcPr>
                <w:p w14:paraId="0F79546C" w14:textId="77777777" w:rsidR="00E66C20" w:rsidRPr="00407B7F" w:rsidRDefault="00E66C20" w:rsidP="00E66C20">
                  <w:pPr>
                    <w:shd w:val="clear" w:color="auto" w:fill="FFFFFF"/>
                    <w:spacing w:line="234" w:lineRule="atLeast"/>
                    <w:rPr>
                      <w:rFonts w:cs="Times New Roman"/>
                      <w:b/>
                      <w:sz w:val="23"/>
                      <w:szCs w:val="23"/>
                    </w:rPr>
                  </w:pPr>
                  <w:r w:rsidRPr="00407B7F">
                    <w:rPr>
                      <w:rFonts w:cs="Times New Roman"/>
                      <w:b/>
                      <w:sz w:val="23"/>
                      <w:szCs w:val="23"/>
                    </w:rPr>
                    <w:lastRenderedPageBreak/>
                    <w:t xml:space="preserve">Có 05 điều: </w:t>
                  </w:r>
                </w:p>
                <w:p w14:paraId="3CA87818" w14:textId="77777777" w:rsidR="00E66C20" w:rsidRPr="00407B7F" w:rsidRDefault="00E66C20" w:rsidP="00E66C20">
                  <w:pPr>
                    <w:shd w:val="clear" w:color="auto" w:fill="FFFFFF"/>
                    <w:spacing w:line="234" w:lineRule="atLeast"/>
                    <w:rPr>
                      <w:rFonts w:eastAsia="Times New Roman" w:cs="Times New Roman"/>
                      <w:color w:val="000000"/>
                      <w:sz w:val="23"/>
                      <w:szCs w:val="23"/>
                    </w:rPr>
                  </w:pPr>
                  <w:r w:rsidRPr="00407B7F">
                    <w:rPr>
                      <w:rFonts w:eastAsia="Times New Roman" w:cs="Times New Roman"/>
                      <w:bCs/>
                      <w:color w:val="000000"/>
                      <w:sz w:val="23"/>
                      <w:szCs w:val="23"/>
                      <w:lang w:val="vi-VN"/>
                    </w:rPr>
                    <w:t>Điều 1. Phạm vi điều chỉnh, đối tượng áp dụng</w:t>
                  </w:r>
                </w:p>
                <w:p w14:paraId="261407CA" w14:textId="77777777" w:rsidR="00E66C20" w:rsidRPr="00407B7F" w:rsidRDefault="00E66C20" w:rsidP="00E66C20">
                  <w:pPr>
                    <w:shd w:val="clear" w:color="auto" w:fill="FFFFFF"/>
                    <w:spacing w:line="234" w:lineRule="atLeast"/>
                    <w:rPr>
                      <w:rFonts w:eastAsia="Times New Roman" w:cs="Times New Roman"/>
                      <w:color w:val="000000"/>
                      <w:sz w:val="23"/>
                      <w:szCs w:val="23"/>
                    </w:rPr>
                  </w:pPr>
                  <w:r w:rsidRPr="00407B7F">
                    <w:rPr>
                      <w:rFonts w:eastAsia="Times New Roman" w:cs="Times New Roman"/>
                      <w:bCs/>
                      <w:color w:val="000000"/>
                      <w:sz w:val="23"/>
                      <w:szCs w:val="23"/>
                      <w:lang w:val="vi-VN"/>
                    </w:rPr>
                    <w:lastRenderedPageBreak/>
                    <w:t>Điều 2. Nội dung, mức chi</w:t>
                  </w:r>
                </w:p>
                <w:p w14:paraId="697B8667" w14:textId="77777777" w:rsidR="00E66C20" w:rsidRPr="00407B7F" w:rsidRDefault="00E66C20" w:rsidP="00E66C20">
                  <w:pPr>
                    <w:shd w:val="clear" w:color="auto" w:fill="FFFFFF"/>
                    <w:spacing w:line="234" w:lineRule="atLeast"/>
                    <w:rPr>
                      <w:rFonts w:eastAsia="Times New Roman" w:cs="Times New Roman"/>
                      <w:bCs/>
                      <w:color w:val="000000"/>
                      <w:sz w:val="23"/>
                      <w:szCs w:val="23"/>
                      <w:lang w:val="vi-VN"/>
                    </w:rPr>
                  </w:pPr>
                  <w:r w:rsidRPr="00407B7F">
                    <w:rPr>
                      <w:rFonts w:eastAsia="Times New Roman" w:cs="Times New Roman"/>
                      <w:bCs/>
                      <w:color w:val="000000"/>
                      <w:sz w:val="23"/>
                      <w:szCs w:val="23"/>
                      <w:lang w:val="vi-VN"/>
                    </w:rPr>
                    <w:t>Điều 3. Nguồn kinh phí thực hiện</w:t>
                  </w:r>
                </w:p>
                <w:p w14:paraId="42E01C32" w14:textId="77777777" w:rsidR="00E66C20" w:rsidRPr="00407B7F" w:rsidRDefault="00E66C20" w:rsidP="00E66C20">
                  <w:pPr>
                    <w:shd w:val="clear" w:color="auto" w:fill="FFFFFF"/>
                    <w:spacing w:line="234" w:lineRule="atLeast"/>
                    <w:rPr>
                      <w:rFonts w:eastAsia="Times New Roman" w:cs="Times New Roman"/>
                      <w:color w:val="000000"/>
                      <w:sz w:val="23"/>
                      <w:szCs w:val="23"/>
                    </w:rPr>
                  </w:pPr>
                  <w:r w:rsidRPr="00407B7F">
                    <w:rPr>
                      <w:rFonts w:eastAsia="Times New Roman" w:cs="Times New Roman"/>
                      <w:bCs/>
                      <w:color w:val="000000"/>
                      <w:sz w:val="23"/>
                      <w:szCs w:val="23"/>
                      <w:lang w:val="vi-VN"/>
                    </w:rPr>
                    <w:t>Điều 4. Tổ chức thực hiện</w:t>
                  </w:r>
                </w:p>
                <w:p w14:paraId="2AA690E4" w14:textId="77777777" w:rsidR="00E7493E" w:rsidRPr="00C95875" w:rsidRDefault="00E7493E" w:rsidP="00E7493E">
                  <w:pPr>
                    <w:spacing w:before="120"/>
                    <w:jc w:val="both"/>
                    <w:rPr>
                      <w:rFonts w:cs="Times New Roman"/>
                    </w:rPr>
                  </w:pPr>
                </w:p>
              </w:tc>
              <w:tc>
                <w:tcPr>
                  <w:tcW w:w="3402" w:type="dxa"/>
                </w:tcPr>
                <w:p w14:paraId="531155CA" w14:textId="77777777" w:rsidR="004A50C7" w:rsidRPr="00407B7F" w:rsidRDefault="004A50C7" w:rsidP="004A50C7">
                  <w:pPr>
                    <w:shd w:val="clear" w:color="auto" w:fill="FFFFFF"/>
                    <w:spacing w:line="234" w:lineRule="atLeast"/>
                    <w:rPr>
                      <w:rFonts w:cs="Times New Roman"/>
                      <w:b/>
                      <w:sz w:val="24"/>
                      <w:szCs w:val="24"/>
                    </w:rPr>
                  </w:pPr>
                  <w:r w:rsidRPr="00407B7F">
                    <w:rPr>
                      <w:rFonts w:cs="Times New Roman"/>
                      <w:b/>
                      <w:sz w:val="24"/>
                      <w:szCs w:val="24"/>
                    </w:rPr>
                    <w:lastRenderedPageBreak/>
                    <w:t xml:space="preserve">Có 05 điều: </w:t>
                  </w:r>
                </w:p>
                <w:p w14:paraId="5B1513DA" w14:textId="77777777" w:rsidR="004A50C7" w:rsidRPr="000314C8" w:rsidRDefault="004A50C7" w:rsidP="00407B7F">
                  <w:pPr>
                    <w:shd w:val="clear" w:color="auto" w:fill="FFFFFF"/>
                    <w:rPr>
                      <w:rFonts w:eastAsia="Times New Roman" w:cs="Times New Roman"/>
                      <w:color w:val="000000"/>
                      <w:sz w:val="24"/>
                      <w:szCs w:val="24"/>
                    </w:rPr>
                  </w:pPr>
                  <w:r w:rsidRPr="000314C8">
                    <w:rPr>
                      <w:rFonts w:eastAsia="Times New Roman" w:cs="Times New Roman"/>
                      <w:bCs/>
                      <w:color w:val="000000"/>
                      <w:sz w:val="24"/>
                      <w:szCs w:val="24"/>
                    </w:rPr>
                    <w:t>Điều 1. Phạm vi điều chỉnh và đối tượng áp dụng</w:t>
                  </w:r>
                </w:p>
                <w:p w14:paraId="52A77A7F" w14:textId="77777777" w:rsidR="004A50C7" w:rsidRPr="000314C8" w:rsidRDefault="004A50C7" w:rsidP="00407B7F">
                  <w:pPr>
                    <w:shd w:val="clear" w:color="auto" w:fill="FFFFFF"/>
                    <w:rPr>
                      <w:rFonts w:eastAsia="Times New Roman" w:cs="Times New Roman"/>
                      <w:color w:val="000000"/>
                      <w:sz w:val="24"/>
                      <w:szCs w:val="24"/>
                    </w:rPr>
                  </w:pPr>
                  <w:r w:rsidRPr="000314C8">
                    <w:rPr>
                      <w:rFonts w:eastAsia="Times New Roman" w:cs="Times New Roman"/>
                      <w:bCs/>
                      <w:color w:val="000000"/>
                      <w:sz w:val="24"/>
                      <w:szCs w:val="24"/>
                    </w:rPr>
                    <w:lastRenderedPageBreak/>
                    <w:t>Điều 2. Nội dung và mức chi</w:t>
                  </w:r>
                </w:p>
                <w:p w14:paraId="7E132DFA" w14:textId="77777777" w:rsidR="004A50C7" w:rsidRPr="000314C8" w:rsidRDefault="004A50C7" w:rsidP="00407B7F">
                  <w:pPr>
                    <w:shd w:val="clear" w:color="auto" w:fill="FFFFFF"/>
                    <w:ind w:right="-108"/>
                    <w:rPr>
                      <w:rFonts w:eastAsia="Times New Roman" w:cs="Times New Roman"/>
                      <w:color w:val="000000"/>
                      <w:sz w:val="24"/>
                      <w:szCs w:val="24"/>
                    </w:rPr>
                  </w:pPr>
                  <w:r w:rsidRPr="000314C8">
                    <w:rPr>
                      <w:rFonts w:eastAsia="Times New Roman" w:cs="Times New Roman"/>
                      <w:bCs/>
                      <w:color w:val="000000"/>
                      <w:sz w:val="24"/>
                      <w:szCs w:val="24"/>
                    </w:rPr>
                    <w:t>Điều 3. Nguồn kinh phí thực hiện</w:t>
                  </w:r>
                </w:p>
                <w:p w14:paraId="40D7D9D7" w14:textId="77777777" w:rsidR="004A50C7" w:rsidRPr="000314C8" w:rsidRDefault="004A50C7" w:rsidP="00407B7F">
                  <w:pPr>
                    <w:shd w:val="clear" w:color="auto" w:fill="FFFFFF"/>
                    <w:rPr>
                      <w:rFonts w:eastAsia="Times New Roman" w:cs="Times New Roman"/>
                      <w:color w:val="000000"/>
                      <w:sz w:val="24"/>
                      <w:szCs w:val="24"/>
                    </w:rPr>
                  </w:pPr>
                  <w:r w:rsidRPr="000314C8">
                    <w:rPr>
                      <w:rFonts w:eastAsia="Times New Roman" w:cs="Times New Roman"/>
                      <w:bCs/>
                      <w:color w:val="000000"/>
                      <w:sz w:val="24"/>
                      <w:szCs w:val="24"/>
                    </w:rPr>
                    <w:t>Điều 4. Tổ chức thực hiện</w:t>
                  </w:r>
                </w:p>
                <w:p w14:paraId="33CCD710" w14:textId="77777777" w:rsidR="00E7493E" w:rsidRPr="00C95875" w:rsidRDefault="004A50C7" w:rsidP="00407B7F">
                  <w:pPr>
                    <w:jc w:val="both"/>
                    <w:rPr>
                      <w:rFonts w:cs="Times New Roman"/>
                      <w:b/>
                      <w:bCs/>
                    </w:rPr>
                  </w:pPr>
                  <w:r w:rsidRPr="000314C8">
                    <w:rPr>
                      <w:rFonts w:eastAsia="Times New Roman" w:cs="Times New Roman"/>
                      <w:bCs/>
                      <w:color w:val="000000"/>
                      <w:sz w:val="24"/>
                      <w:szCs w:val="24"/>
                    </w:rPr>
                    <w:t>Điều 5. Hiệu lực thi hành</w:t>
                  </w:r>
                </w:p>
              </w:tc>
              <w:tc>
                <w:tcPr>
                  <w:tcW w:w="2728" w:type="dxa"/>
                </w:tcPr>
                <w:p w14:paraId="54633F01" w14:textId="77777777" w:rsidR="00E7493E" w:rsidRPr="00C95875" w:rsidRDefault="004A50C7" w:rsidP="00E7493E">
                  <w:pPr>
                    <w:spacing w:before="60" w:after="60"/>
                    <w:jc w:val="both"/>
                    <w:rPr>
                      <w:rFonts w:cs="Times New Roman"/>
                      <w:bCs/>
                    </w:rPr>
                  </w:pPr>
                  <w:r w:rsidRPr="00E7493E">
                    <w:rPr>
                      <w:bCs/>
                      <w:sz w:val="24"/>
                      <w:szCs w:val="24"/>
                    </w:rPr>
                    <w:lastRenderedPageBreak/>
                    <w:t xml:space="preserve">Kế </w:t>
                  </w:r>
                  <w:r w:rsidRPr="004E6262">
                    <w:rPr>
                      <w:bCs/>
                      <w:sz w:val="24"/>
                      <w:szCs w:val="24"/>
                    </w:rPr>
                    <w:t xml:space="preserve">thừa </w:t>
                  </w:r>
                  <w:r w:rsidRPr="004E6262">
                    <w:rPr>
                      <w:rFonts w:cs="Times New Roman"/>
                      <w:bCs/>
                      <w:sz w:val="24"/>
                      <w:szCs w:val="24"/>
                    </w:rPr>
                    <w:t xml:space="preserve">Nghị quyết số 21/2022/NQ-HĐND ngày 12/9/2022 của HĐND tỉnh </w:t>
                  </w:r>
                  <w:r w:rsidRPr="004E6262">
                    <w:rPr>
                      <w:rFonts w:cs="Times New Roman"/>
                      <w:bCs/>
                      <w:sz w:val="24"/>
                      <w:szCs w:val="24"/>
                    </w:rPr>
                    <w:lastRenderedPageBreak/>
                    <w:t xml:space="preserve">Quảng Ngãi </w:t>
                  </w:r>
                  <w:r w:rsidRPr="004E6262">
                    <w:rPr>
                      <w:rFonts w:eastAsia="Yu Gothic" w:cs="Times New Roman"/>
                      <w:bCs/>
                      <w:sz w:val="24"/>
                      <w:szCs w:val="24"/>
                    </w:rPr>
                    <w:t>Quy định nội dung và mức chi thực hiện Đề án “Xây dựng xã hội học tập giai đoạn 2021-2030” trên địa bàn tỉnh Quảng Ngãi</w:t>
                  </w:r>
                </w:p>
              </w:tc>
            </w:tr>
            <w:tr w:rsidR="00E7493E" w:rsidRPr="005B0632" w14:paraId="66F14FCC" w14:textId="77777777" w:rsidTr="00C7557C">
              <w:tc>
                <w:tcPr>
                  <w:tcW w:w="422" w:type="dxa"/>
                </w:tcPr>
                <w:p w14:paraId="63DE6357" w14:textId="77777777" w:rsidR="00E7493E" w:rsidRPr="00026635" w:rsidRDefault="00E1662E" w:rsidP="00E7493E">
                  <w:pPr>
                    <w:spacing w:before="60" w:after="60"/>
                    <w:jc w:val="center"/>
                    <w:rPr>
                      <w:rFonts w:cs="Times New Roman"/>
                      <w:b/>
                      <w:sz w:val="23"/>
                      <w:szCs w:val="23"/>
                    </w:rPr>
                  </w:pPr>
                  <w:r w:rsidRPr="00026635">
                    <w:rPr>
                      <w:rFonts w:cs="Times New Roman"/>
                      <w:b/>
                      <w:sz w:val="23"/>
                      <w:szCs w:val="23"/>
                    </w:rPr>
                    <w:lastRenderedPageBreak/>
                    <w:t>3</w:t>
                  </w:r>
                </w:p>
              </w:tc>
              <w:tc>
                <w:tcPr>
                  <w:tcW w:w="1552" w:type="dxa"/>
                </w:tcPr>
                <w:p w14:paraId="6595DE0A" w14:textId="77777777" w:rsidR="00E7493E" w:rsidRPr="00026635" w:rsidRDefault="00E1662E" w:rsidP="00E7493E">
                  <w:pPr>
                    <w:shd w:val="clear" w:color="auto" w:fill="FFFFFF"/>
                    <w:spacing w:line="234" w:lineRule="atLeast"/>
                    <w:rPr>
                      <w:rFonts w:cs="Times New Roman"/>
                      <w:b/>
                      <w:bCs/>
                      <w:sz w:val="23"/>
                      <w:szCs w:val="23"/>
                    </w:rPr>
                  </w:pPr>
                  <w:r w:rsidRPr="00026635">
                    <w:rPr>
                      <w:rFonts w:cs="Times New Roman"/>
                      <w:b/>
                      <w:bCs/>
                      <w:sz w:val="23"/>
                      <w:szCs w:val="23"/>
                    </w:rPr>
                    <w:t>Căn cứ pháp lý</w:t>
                  </w:r>
                </w:p>
              </w:tc>
              <w:tc>
                <w:tcPr>
                  <w:tcW w:w="3402" w:type="dxa"/>
                </w:tcPr>
                <w:p w14:paraId="417412E1" w14:textId="77777777" w:rsidR="00B97010" w:rsidRPr="00B97010" w:rsidRDefault="00B97010" w:rsidP="00B97010">
                  <w:pPr>
                    <w:shd w:val="clear" w:color="auto" w:fill="FFFFFF"/>
                    <w:spacing w:before="120" w:after="120" w:line="234" w:lineRule="atLeast"/>
                    <w:jc w:val="both"/>
                    <w:rPr>
                      <w:rFonts w:eastAsia="Times New Roman" w:cs="Times New Roman"/>
                      <w:color w:val="000000"/>
                      <w:sz w:val="24"/>
                      <w:szCs w:val="24"/>
                    </w:rPr>
                  </w:pPr>
                  <w:r w:rsidRPr="00B97010">
                    <w:rPr>
                      <w:rFonts w:eastAsia="Times New Roman" w:cs="Times New Roman"/>
                      <w:iCs/>
                      <w:color w:val="000000"/>
                      <w:sz w:val="24"/>
                      <w:szCs w:val="24"/>
                    </w:rPr>
                    <w:t>Căn cứ Luật Tổ chức chính</w:t>
                  </w:r>
                  <w:r>
                    <w:rPr>
                      <w:rFonts w:eastAsia="Times New Roman" w:cs="Times New Roman"/>
                      <w:iCs/>
                      <w:color w:val="000000"/>
                      <w:sz w:val="24"/>
                      <w:szCs w:val="24"/>
                    </w:rPr>
                    <w:t xml:space="preserve"> quyền địa phương ngày 19/6/</w:t>
                  </w:r>
                  <w:r w:rsidRPr="00B97010">
                    <w:rPr>
                      <w:rFonts w:eastAsia="Times New Roman" w:cs="Times New Roman"/>
                      <w:iCs/>
                      <w:color w:val="000000"/>
                      <w:sz w:val="24"/>
                      <w:szCs w:val="24"/>
                    </w:rPr>
                    <w:t>2015; Luật sửa đổi, bổ sung một số điều của Luật Tổ chức Chính phủ và Luật Tổ chức chính</w:t>
                  </w:r>
                  <w:r>
                    <w:rPr>
                      <w:rFonts w:eastAsia="Times New Roman" w:cs="Times New Roman"/>
                      <w:iCs/>
                      <w:color w:val="000000"/>
                      <w:sz w:val="24"/>
                      <w:szCs w:val="24"/>
                    </w:rPr>
                    <w:t xml:space="preserve"> quyền địa phương ngày 22/11/</w:t>
                  </w:r>
                  <w:r w:rsidRPr="00B97010">
                    <w:rPr>
                      <w:rFonts w:eastAsia="Times New Roman" w:cs="Times New Roman"/>
                      <w:iCs/>
                      <w:color w:val="000000"/>
                      <w:sz w:val="24"/>
                      <w:szCs w:val="24"/>
                    </w:rPr>
                    <w:t>2019;</w:t>
                  </w:r>
                </w:p>
                <w:p w14:paraId="1D051523" w14:textId="77777777" w:rsidR="00E7493E" w:rsidRPr="00C95875" w:rsidRDefault="00B97010" w:rsidP="00B97010">
                  <w:pPr>
                    <w:shd w:val="clear" w:color="auto" w:fill="FFFFFF"/>
                    <w:spacing w:line="234" w:lineRule="atLeast"/>
                    <w:jc w:val="both"/>
                    <w:rPr>
                      <w:rFonts w:cs="Times New Roman"/>
                    </w:rPr>
                  </w:pPr>
                  <w:r w:rsidRPr="00805F61">
                    <w:rPr>
                      <w:rFonts w:eastAsia="Times New Roman" w:cs="Times New Roman"/>
                      <w:iCs/>
                      <w:sz w:val="24"/>
                      <w:szCs w:val="24"/>
                    </w:rPr>
                    <w:t>Căn cứ Thông tư số </w:t>
                  </w:r>
                  <w:hyperlink r:id="rId7" w:tgtFrame="_blank" w:tooltip="Thông tư 17/2022/TT-BTC" w:history="1">
                    <w:r w:rsidRPr="00805F61">
                      <w:rPr>
                        <w:rFonts w:eastAsia="Times New Roman" w:cs="Times New Roman"/>
                        <w:iCs/>
                        <w:sz w:val="24"/>
                        <w:szCs w:val="24"/>
                      </w:rPr>
                      <w:t>17/2022/TT-BTC</w:t>
                    </w:r>
                  </w:hyperlink>
                  <w:r w:rsidRPr="00805F61">
                    <w:rPr>
                      <w:rFonts w:eastAsia="Times New Roman" w:cs="Times New Roman"/>
                      <w:iCs/>
                      <w:sz w:val="24"/>
                      <w:szCs w:val="24"/>
                    </w:rPr>
                    <w:t> ngày 08/3/2022 của Bộ trưởng Bộ Tài chính hướng dẫn quản lý và sử dụng kinh phí thực hiện Đề án “Xây dựng xã hội học tập giai đoạn 2021-2030”.</w:t>
                  </w:r>
                </w:p>
              </w:tc>
              <w:tc>
                <w:tcPr>
                  <w:tcW w:w="3827" w:type="dxa"/>
                </w:tcPr>
                <w:p w14:paraId="6708998F" w14:textId="77777777" w:rsidR="00A6032A" w:rsidRPr="003A3E50" w:rsidRDefault="00A6032A" w:rsidP="00B66CBA">
                  <w:pPr>
                    <w:shd w:val="clear" w:color="auto" w:fill="FFFFFF"/>
                    <w:jc w:val="both"/>
                    <w:rPr>
                      <w:rFonts w:eastAsia="Times New Roman" w:cs="Times New Roman"/>
                      <w:sz w:val="23"/>
                      <w:szCs w:val="23"/>
                    </w:rPr>
                  </w:pPr>
                  <w:r w:rsidRPr="003A3E50">
                    <w:rPr>
                      <w:rFonts w:eastAsia="Times New Roman" w:cs="Times New Roman"/>
                      <w:iCs/>
                      <w:sz w:val="23"/>
                      <w:szCs w:val="23"/>
                      <w:lang w:val="vi-VN"/>
                    </w:rPr>
                    <w:t xml:space="preserve">Căn cứ Luật tổ chức chính quyền địa phương ngày </w:t>
                  </w:r>
                  <w:r w:rsidRPr="003A3E50">
                    <w:rPr>
                      <w:rFonts w:eastAsia="Times New Roman" w:cs="Times New Roman"/>
                      <w:iCs/>
                      <w:sz w:val="23"/>
                      <w:szCs w:val="23"/>
                    </w:rPr>
                    <w:t>19/6/2015</w:t>
                  </w:r>
                  <w:r w:rsidRPr="003A3E50">
                    <w:rPr>
                      <w:rFonts w:eastAsia="Times New Roman" w:cs="Times New Roman"/>
                      <w:iCs/>
                      <w:sz w:val="23"/>
                      <w:szCs w:val="23"/>
                      <w:lang w:val="vi-VN"/>
                    </w:rPr>
                    <w:t>;</w:t>
                  </w:r>
                </w:p>
                <w:p w14:paraId="4FF7E57B" w14:textId="77777777" w:rsidR="00A6032A" w:rsidRPr="003A3E50" w:rsidRDefault="00A6032A" w:rsidP="00B66CBA">
                  <w:pPr>
                    <w:shd w:val="clear" w:color="auto" w:fill="FFFFFF"/>
                    <w:jc w:val="both"/>
                    <w:rPr>
                      <w:rFonts w:eastAsia="Times New Roman" w:cs="Times New Roman"/>
                      <w:sz w:val="23"/>
                      <w:szCs w:val="23"/>
                    </w:rPr>
                  </w:pPr>
                  <w:r w:rsidRPr="003A3E50">
                    <w:rPr>
                      <w:rFonts w:eastAsia="Times New Roman" w:cs="Times New Roman"/>
                      <w:iCs/>
                      <w:sz w:val="23"/>
                      <w:szCs w:val="23"/>
                      <w:lang w:val="vi-VN"/>
                    </w:rPr>
                    <w:t xml:space="preserve">Căn cứ Luật sửa đổi, bổ sung một số điều của Luật Tổ chức Chính phủ và Luật Tổ chức chính quyền địa phương ngày </w:t>
                  </w:r>
                  <w:r w:rsidRPr="003A3E50">
                    <w:rPr>
                      <w:rFonts w:eastAsia="Times New Roman" w:cs="Times New Roman"/>
                      <w:iCs/>
                      <w:sz w:val="23"/>
                      <w:szCs w:val="23"/>
                    </w:rPr>
                    <w:t>22/11/2019</w:t>
                  </w:r>
                  <w:r w:rsidRPr="003A3E50">
                    <w:rPr>
                      <w:rFonts w:eastAsia="Times New Roman" w:cs="Times New Roman"/>
                      <w:iCs/>
                      <w:sz w:val="23"/>
                      <w:szCs w:val="23"/>
                      <w:lang w:val="vi-VN"/>
                    </w:rPr>
                    <w:t>;</w:t>
                  </w:r>
                </w:p>
                <w:p w14:paraId="742B740D" w14:textId="77777777" w:rsidR="00A6032A" w:rsidRPr="003A3E50" w:rsidRDefault="00A6032A" w:rsidP="00B66CBA">
                  <w:pPr>
                    <w:shd w:val="clear" w:color="auto" w:fill="FFFFFF"/>
                    <w:jc w:val="both"/>
                    <w:rPr>
                      <w:rFonts w:eastAsia="Times New Roman" w:cs="Times New Roman"/>
                      <w:sz w:val="23"/>
                      <w:szCs w:val="23"/>
                    </w:rPr>
                  </w:pPr>
                  <w:r w:rsidRPr="003A3E50">
                    <w:rPr>
                      <w:rFonts w:eastAsia="Times New Roman" w:cs="Times New Roman"/>
                      <w:iCs/>
                      <w:sz w:val="23"/>
                      <w:szCs w:val="23"/>
                      <w:lang w:val="vi-VN"/>
                    </w:rPr>
                    <w:t>Căn cứ Luật Ban hành văn bản quy phạm pháp luật ngày 22/6/2015;</w:t>
                  </w:r>
                </w:p>
                <w:p w14:paraId="421004CB" w14:textId="77777777" w:rsidR="00A6032A" w:rsidRPr="003A3E50" w:rsidRDefault="00A6032A" w:rsidP="00B66CBA">
                  <w:pPr>
                    <w:shd w:val="clear" w:color="auto" w:fill="FFFFFF"/>
                    <w:jc w:val="both"/>
                    <w:rPr>
                      <w:rFonts w:eastAsia="Times New Roman" w:cs="Times New Roman"/>
                      <w:sz w:val="23"/>
                      <w:szCs w:val="23"/>
                    </w:rPr>
                  </w:pPr>
                  <w:r w:rsidRPr="003A3E50">
                    <w:rPr>
                      <w:rFonts w:eastAsia="Times New Roman" w:cs="Times New Roman"/>
                      <w:iCs/>
                      <w:sz w:val="23"/>
                      <w:szCs w:val="23"/>
                      <w:lang w:val="vi-VN"/>
                    </w:rPr>
                    <w:t>Căn cứ Luật Sửa đổi, bổ sung một số điều của Luật Ban hành văn bản quy phạm pháp luật năm 2020;</w:t>
                  </w:r>
                </w:p>
                <w:p w14:paraId="7B94B323" w14:textId="77777777" w:rsidR="00A6032A" w:rsidRPr="003A3E50" w:rsidRDefault="00A6032A" w:rsidP="00B66CBA">
                  <w:pPr>
                    <w:shd w:val="clear" w:color="auto" w:fill="FFFFFF"/>
                    <w:jc w:val="both"/>
                    <w:rPr>
                      <w:rFonts w:eastAsia="Times New Roman" w:cs="Times New Roman"/>
                      <w:sz w:val="23"/>
                      <w:szCs w:val="23"/>
                    </w:rPr>
                  </w:pPr>
                  <w:r w:rsidRPr="003A3E50">
                    <w:rPr>
                      <w:rFonts w:eastAsia="Times New Roman" w:cs="Times New Roman"/>
                      <w:iCs/>
                      <w:sz w:val="23"/>
                      <w:szCs w:val="23"/>
                      <w:lang w:val="vi-VN"/>
                    </w:rPr>
                    <w:t>Căn cứ Luật Ngân sách Nhà nước ngày 25/6/2015;</w:t>
                  </w:r>
                </w:p>
                <w:p w14:paraId="12A94C4A" w14:textId="77777777" w:rsidR="00A6032A" w:rsidRPr="003A3E50" w:rsidRDefault="00A6032A" w:rsidP="00B66CBA">
                  <w:pPr>
                    <w:shd w:val="clear" w:color="auto" w:fill="FFFFFF"/>
                    <w:jc w:val="both"/>
                    <w:rPr>
                      <w:rFonts w:eastAsia="Times New Roman" w:cs="Times New Roman"/>
                      <w:sz w:val="23"/>
                      <w:szCs w:val="23"/>
                    </w:rPr>
                  </w:pPr>
                  <w:r w:rsidRPr="003A3E50">
                    <w:rPr>
                      <w:rFonts w:eastAsia="Times New Roman" w:cs="Times New Roman"/>
                      <w:iCs/>
                      <w:sz w:val="23"/>
                      <w:szCs w:val="23"/>
                      <w:lang w:val="vi-VN"/>
                    </w:rPr>
                    <w:t>Thực hiện Quyết định số </w:t>
                  </w:r>
                  <w:hyperlink r:id="rId8" w:tgtFrame="_blank" w:tooltip="Quyết định 1373/QĐ-TTg" w:history="1">
                    <w:r w:rsidRPr="003A3E50">
                      <w:rPr>
                        <w:rFonts w:eastAsia="Times New Roman" w:cs="Times New Roman"/>
                        <w:iCs/>
                        <w:sz w:val="23"/>
                        <w:szCs w:val="23"/>
                        <w:lang w:val="vi-VN"/>
                      </w:rPr>
                      <w:t>1373/QĐ-TTg</w:t>
                    </w:r>
                  </w:hyperlink>
                  <w:r w:rsidRPr="003A3E50">
                    <w:rPr>
                      <w:rFonts w:eastAsia="Times New Roman" w:cs="Times New Roman"/>
                      <w:iCs/>
                      <w:sz w:val="23"/>
                      <w:szCs w:val="23"/>
                      <w:lang w:val="vi-VN"/>
                    </w:rPr>
                    <w:t> ngày 30/7/2021 của Thủ Tướng Chính phủ Phê duyệt Đề án </w:t>
                  </w:r>
                  <w:r w:rsidRPr="003A3E50">
                    <w:rPr>
                      <w:rFonts w:eastAsia="Times New Roman" w:cs="Times New Roman"/>
                      <w:iCs/>
                      <w:sz w:val="23"/>
                      <w:szCs w:val="23"/>
                    </w:rPr>
                    <w:t>“</w:t>
                  </w:r>
                  <w:r w:rsidRPr="003A3E50">
                    <w:rPr>
                      <w:rFonts w:eastAsia="Times New Roman" w:cs="Times New Roman"/>
                      <w:iCs/>
                      <w:sz w:val="23"/>
                      <w:szCs w:val="23"/>
                      <w:lang w:val="vi-VN"/>
                    </w:rPr>
                    <w:t>Xây dựng xã hội học tập giai đoạn 2021 </w:t>
                  </w:r>
                  <w:r w:rsidRPr="003A3E50">
                    <w:rPr>
                      <w:rFonts w:eastAsia="Times New Roman" w:cs="Times New Roman"/>
                      <w:iCs/>
                      <w:sz w:val="23"/>
                      <w:szCs w:val="23"/>
                    </w:rPr>
                    <w:t>-</w:t>
                  </w:r>
                  <w:r w:rsidRPr="003A3E50">
                    <w:rPr>
                      <w:rFonts w:eastAsia="Times New Roman" w:cs="Times New Roman"/>
                      <w:iCs/>
                      <w:sz w:val="23"/>
                      <w:szCs w:val="23"/>
                      <w:lang w:val="vi-VN"/>
                    </w:rPr>
                    <w:t> 2030</w:t>
                  </w:r>
                  <w:r w:rsidRPr="003A3E50">
                    <w:rPr>
                      <w:rFonts w:eastAsia="Times New Roman" w:cs="Times New Roman"/>
                      <w:iCs/>
                      <w:sz w:val="23"/>
                      <w:szCs w:val="23"/>
                    </w:rPr>
                    <w:t>”</w:t>
                  </w:r>
                  <w:r w:rsidRPr="003A3E50">
                    <w:rPr>
                      <w:rFonts w:eastAsia="Times New Roman" w:cs="Times New Roman"/>
                      <w:iCs/>
                      <w:sz w:val="23"/>
                      <w:szCs w:val="23"/>
                      <w:lang w:val="vi-VN"/>
                    </w:rPr>
                    <w:t>;</w:t>
                  </w:r>
                </w:p>
                <w:p w14:paraId="03E06F0E" w14:textId="77777777" w:rsidR="00A6032A" w:rsidRPr="003A3E50" w:rsidRDefault="00A6032A" w:rsidP="00B66CBA">
                  <w:pPr>
                    <w:shd w:val="clear" w:color="auto" w:fill="FFFFFF"/>
                    <w:jc w:val="both"/>
                    <w:rPr>
                      <w:rFonts w:eastAsia="Times New Roman" w:cs="Times New Roman"/>
                      <w:sz w:val="23"/>
                      <w:szCs w:val="23"/>
                    </w:rPr>
                  </w:pPr>
                  <w:r w:rsidRPr="003A3E50">
                    <w:rPr>
                      <w:rFonts w:eastAsia="Times New Roman" w:cs="Times New Roman"/>
                      <w:iCs/>
                      <w:sz w:val="23"/>
                      <w:szCs w:val="23"/>
                      <w:lang w:val="vi-VN"/>
                    </w:rPr>
                    <w:t>Căn cứ Thông tư số </w:t>
                  </w:r>
                  <w:hyperlink r:id="rId9" w:tgtFrame="_blank" w:tooltip="Thông tư 10/2022/TT-BGDĐT" w:history="1">
                    <w:r w:rsidRPr="003A3E50">
                      <w:rPr>
                        <w:rFonts w:eastAsia="Times New Roman" w:cs="Times New Roman"/>
                        <w:iCs/>
                        <w:sz w:val="23"/>
                        <w:szCs w:val="23"/>
                        <w:lang w:val="vi-VN"/>
                      </w:rPr>
                      <w:t>10/2022/TT-BGDĐT</w:t>
                    </w:r>
                  </w:hyperlink>
                  <w:r w:rsidRPr="003A3E50">
                    <w:rPr>
                      <w:rFonts w:eastAsia="Times New Roman" w:cs="Times New Roman"/>
                      <w:iCs/>
                      <w:sz w:val="23"/>
                      <w:szCs w:val="23"/>
                      <w:lang w:val="vi-VN"/>
                    </w:rPr>
                    <w:t> ngày 12/7/2022 của B</w:t>
                  </w:r>
                  <w:r w:rsidRPr="003A3E50">
                    <w:rPr>
                      <w:rFonts w:eastAsia="Times New Roman" w:cs="Times New Roman"/>
                      <w:iCs/>
                      <w:sz w:val="23"/>
                      <w:szCs w:val="23"/>
                    </w:rPr>
                    <w:t>ộ </w:t>
                  </w:r>
                  <w:r w:rsidRPr="003A3E50">
                    <w:rPr>
                      <w:rFonts w:eastAsia="Times New Roman" w:cs="Times New Roman"/>
                      <w:iCs/>
                      <w:sz w:val="23"/>
                      <w:szCs w:val="23"/>
                      <w:lang w:val="vi-VN"/>
                    </w:rPr>
                    <w:t>trưởng Bộ Giáo dục và Đào tạo Quy định về đánh giá học viên học Chương trình x</w:t>
                  </w:r>
                  <w:r w:rsidRPr="003A3E50">
                    <w:rPr>
                      <w:rFonts w:eastAsia="Times New Roman" w:cs="Times New Roman"/>
                      <w:iCs/>
                      <w:sz w:val="23"/>
                      <w:szCs w:val="23"/>
                    </w:rPr>
                    <w:t>ó</w:t>
                  </w:r>
                  <w:r w:rsidRPr="003A3E50">
                    <w:rPr>
                      <w:rFonts w:eastAsia="Times New Roman" w:cs="Times New Roman"/>
                      <w:iCs/>
                      <w:sz w:val="23"/>
                      <w:szCs w:val="23"/>
                      <w:lang w:val="vi-VN"/>
                    </w:rPr>
                    <w:t>a mù chữ;</w:t>
                  </w:r>
                </w:p>
                <w:p w14:paraId="54111A17" w14:textId="77777777" w:rsidR="00A6032A" w:rsidRPr="003A3E50" w:rsidRDefault="00A6032A" w:rsidP="00B66CBA">
                  <w:pPr>
                    <w:shd w:val="clear" w:color="auto" w:fill="FFFFFF"/>
                    <w:jc w:val="both"/>
                    <w:rPr>
                      <w:rFonts w:eastAsia="Times New Roman" w:cs="Times New Roman"/>
                      <w:sz w:val="23"/>
                      <w:szCs w:val="23"/>
                    </w:rPr>
                  </w:pPr>
                  <w:r w:rsidRPr="003A3E50">
                    <w:rPr>
                      <w:rFonts w:eastAsia="Times New Roman" w:cs="Times New Roman"/>
                      <w:iCs/>
                      <w:sz w:val="23"/>
                      <w:szCs w:val="23"/>
                      <w:lang w:val="vi-VN"/>
                    </w:rPr>
                    <w:t>Căn cứ Khoản 5 Điều 20 Thông tư số </w:t>
                  </w:r>
                  <w:hyperlink r:id="rId10" w:tgtFrame="_blank" w:tooltip="Thông tư 15/2022/TT-BTC" w:history="1">
                    <w:r w:rsidRPr="003A3E50">
                      <w:rPr>
                        <w:rFonts w:eastAsia="Times New Roman" w:cs="Times New Roman"/>
                        <w:iCs/>
                        <w:sz w:val="23"/>
                        <w:szCs w:val="23"/>
                        <w:lang w:val="vi-VN"/>
                      </w:rPr>
                      <w:t>15/2022/TT-BTC</w:t>
                    </w:r>
                  </w:hyperlink>
                  <w:r w:rsidR="00B66CBA" w:rsidRPr="003A3E50">
                    <w:rPr>
                      <w:rFonts w:eastAsia="Times New Roman" w:cs="Times New Roman"/>
                      <w:iCs/>
                      <w:sz w:val="23"/>
                      <w:szCs w:val="23"/>
                      <w:lang w:val="vi-VN"/>
                    </w:rPr>
                    <w:t> ngày 04/3/</w:t>
                  </w:r>
                  <w:r w:rsidRPr="003A3E50">
                    <w:rPr>
                      <w:rFonts w:eastAsia="Times New Roman" w:cs="Times New Roman"/>
                      <w:iCs/>
                      <w:sz w:val="23"/>
                      <w:szCs w:val="23"/>
                      <w:lang w:val="vi-VN"/>
                    </w:rPr>
                    <w:t>2022 của Bộ trưởng Bộ Tài chính Quy định quản lý và sử dụng kinh phí sự nghiệp thực hiện Chương trình mục tiêu quốc gia Phát triển kinh tế - xã hội vùng đồng bào d</w:t>
                  </w:r>
                  <w:r w:rsidRPr="003A3E50">
                    <w:rPr>
                      <w:rFonts w:eastAsia="Times New Roman" w:cs="Times New Roman"/>
                      <w:iCs/>
                      <w:sz w:val="23"/>
                      <w:szCs w:val="23"/>
                    </w:rPr>
                    <w:t>â</w:t>
                  </w:r>
                  <w:r w:rsidRPr="003A3E50">
                    <w:rPr>
                      <w:rFonts w:eastAsia="Times New Roman" w:cs="Times New Roman"/>
                      <w:iCs/>
                      <w:sz w:val="23"/>
                      <w:szCs w:val="23"/>
                      <w:lang w:val="vi-VN"/>
                    </w:rPr>
                    <w:t>n tộc thiểu s</w:t>
                  </w:r>
                  <w:r w:rsidRPr="003A3E50">
                    <w:rPr>
                      <w:rFonts w:eastAsia="Times New Roman" w:cs="Times New Roman"/>
                      <w:iCs/>
                      <w:sz w:val="23"/>
                      <w:szCs w:val="23"/>
                    </w:rPr>
                    <w:t>ố </w:t>
                  </w:r>
                  <w:r w:rsidRPr="003A3E50">
                    <w:rPr>
                      <w:rFonts w:eastAsia="Times New Roman" w:cs="Times New Roman"/>
                      <w:iCs/>
                      <w:sz w:val="23"/>
                      <w:szCs w:val="23"/>
                      <w:lang w:val="vi-VN"/>
                    </w:rPr>
                    <w:t xml:space="preserve">và miền núi giai </w:t>
                  </w:r>
                  <w:r w:rsidRPr="003A3E50">
                    <w:rPr>
                      <w:rFonts w:eastAsia="Times New Roman" w:cs="Times New Roman"/>
                      <w:iCs/>
                      <w:sz w:val="23"/>
                      <w:szCs w:val="23"/>
                      <w:lang w:val="vi-VN"/>
                    </w:rPr>
                    <w:lastRenderedPageBreak/>
                    <w:t>đoạn 2021 - 2030, giai đoạn I</w:t>
                  </w:r>
                  <w:r w:rsidRPr="003A3E50">
                    <w:rPr>
                      <w:rFonts w:eastAsia="Times New Roman" w:cs="Times New Roman"/>
                      <w:iCs/>
                      <w:sz w:val="23"/>
                      <w:szCs w:val="23"/>
                    </w:rPr>
                    <w:t>: </w:t>
                  </w:r>
                  <w:r w:rsidRPr="003A3E50">
                    <w:rPr>
                      <w:rFonts w:eastAsia="Times New Roman" w:cs="Times New Roman"/>
                      <w:iCs/>
                      <w:sz w:val="23"/>
                      <w:szCs w:val="23"/>
                      <w:lang w:val="vi-VN"/>
                    </w:rPr>
                    <w:t>từ năm 2021 đến năm 2025;</w:t>
                  </w:r>
                </w:p>
                <w:p w14:paraId="2F22D26D" w14:textId="77777777" w:rsidR="00E7493E" w:rsidRPr="003A3E50" w:rsidRDefault="00E71367" w:rsidP="00B66CBA">
                  <w:pPr>
                    <w:shd w:val="clear" w:color="auto" w:fill="FFFFFF"/>
                    <w:jc w:val="both"/>
                    <w:rPr>
                      <w:rFonts w:eastAsia="Times New Roman" w:cs="Times New Roman"/>
                      <w:iCs/>
                      <w:sz w:val="23"/>
                      <w:szCs w:val="23"/>
                      <w:lang w:val="vi-VN"/>
                    </w:rPr>
                  </w:pPr>
                  <w:r w:rsidRPr="003A3E50">
                    <w:rPr>
                      <w:rFonts w:eastAsia="Times New Roman" w:cs="Times New Roman"/>
                      <w:iCs/>
                      <w:sz w:val="23"/>
                      <w:szCs w:val="23"/>
                      <w:lang w:val="vi-VN"/>
                    </w:rPr>
                    <w:t xml:space="preserve">Căn cứ </w:t>
                  </w:r>
                  <w:r w:rsidR="00A6032A" w:rsidRPr="003A3E50">
                    <w:rPr>
                      <w:rFonts w:eastAsia="Times New Roman" w:cs="Times New Roman"/>
                      <w:iCs/>
                      <w:sz w:val="23"/>
                      <w:szCs w:val="23"/>
                      <w:lang w:val="vi-VN"/>
                    </w:rPr>
                    <w:t>Thông tư số </w:t>
                  </w:r>
                  <w:r w:rsidR="00A6032A" w:rsidRPr="003A3E50">
                    <w:rPr>
                      <w:rFonts w:eastAsia="Times New Roman" w:cs="Times New Roman"/>
                      <w:iCs/>
                      <w:sz w:val="23"/>
                      <w:szCs w:val="23"/>
                    </w:rPr>
                    <w:t>1</w:t>
                  </w:r>
                  <w:r w:rsidR="00B66CBA" w:rsidRPr="003A3E50">
                    <w:rPr>
                      <w:rFonts w:eastAsia="Times New Roman" w:cs="Times New Roman"/>
                      <w:iCs/>
                      <w:sz w:val="23"/>
                      <w:szCs w:val="23"/>
                      <w:lang w:val="vi-VN"/>
                    </w:rPr>
                    <w:t>7/2022/TT-BTC ngày 08/3/</w:t>
                  </w:r>
                  <w:r w:rsidR="00A6032A" w:rsidRPr="003A3E50">
                    <w:rPr>
                      <w:rFonts w:eastAsia="Times New Roman" w:cs="Times New Roman"/>
                      <w:iCs/>
                      <w:sz w:val="23"/>
                      <w:szCs w:val="23"/>
                      <w:lang w:val="vi-VN"/>
                    </w:rPr>
                    <w:t>2022 của Bộ trưởng Bộ Tài chính hướng dẫn qu</w:t>
                  </w:r>
                  <w:r w:rsidR="00A6032A" w:rsidRPr="003A3E50">
                    <w:rPr>
                      <w:rFonts w:eastAsia="Times New Roman" w:cs="Times New Roman"/>
                      <w:iCs/>
                      <w:sz w:val="23"/>
                      <w:szCs w:val="23"/>
                    </w:rPr>
                    <w:t>ả</w:t>
                  </w:r>
                  <w:r w:rsidR="00A6032A" w:rsidRPr="003A3E50">
                    <w:rPr>
                      <w:rFonts w:eastAsia="Times New Roman" w:cs="Times New Roman"/>
                      <w:iCs/>
                      <w:sz w:val="23"/>
                      <w:szCs w:val="23"/>
                      <w:lang w:val="vi-VN"/>
                    </w:rPr>
                    <w:t>n lý và sử dụng kinh phí thực hiện Đề án </w:t>
                  </w:r>
                  <w:r w:rsidR="00A6032A" w:rsidRPr="003A3E50">
                    <w:rPr>
                      <w:rFonts w:eastAsia="Times New Roman" w:cs="Times New Roman"/>
                      <w:iCs/>
                      <w:sz w:val="23"/>
                      <w:szCs w:val="23"/>
                    </w:rPr>
                    <w:t>“</w:t>
                  </w:r>
                  <w:r w:rsidR="00A6032A" w:rsidRPr="003A3E50">
                    <w:rPr>
                      <w:rFonts w:eastAsia="Times New Roman" w:cs="Times New Roman"/>
                      <w:iCs/>
                      <w:sz w:val="23"/>
                      <w:szCs w:val="23"/>
                      <w:lang w:val="vi-VN"/>
                    </w:rPr>
                    <w:t>Xây dựng xã h</w:t>
                  </w:r>
                  <w:r w:rsidRPr="003A3E50">
                    <w:rPr>
                      <w:rFonts w:eastAsia="Times New Roman" w:cs="Times New Roman"/>
                      <w:iCs/>
                      <w:sz w:val="23"/>
                      <w:szCs w:val="23"/>
                      <w:lang w:val="vi-VN"/>
                    </w:rPr>
                    <w:t>ội học tập giai đoạn 2021-2030”;</w:t>
                  </w:r>
                </w:p>
                <w:p w14:paraId="65EF72EA" w14:textId="77777777" w:rsidR="00E71367" w:rsidRPr="003A3E50" w:rsidRDefault="00E71367" w:rsidP="00E71367">
                  <w:pPr>
                    <w:shd w:val="clear" w:color="auto" w:fill="FFFFFF"/>
                    <w:spacing w:line="234" w:lineRule="atLeast"/>
                    <w:rPr>
                      <w:rFonts w:eastAsia="Times New Roman" w:cs="Times New Roman"/>
                      <w:sz w:val="23"/>
                      <w:szCs w:val="23"/>
                      <w:lang w:val="vi-VN"/>
                    </w:rPr>
                  </w:pPr>
                  <w:r w:rsidRPr="003A3E50">
                    <w:rPr>
                      <w:rFonts w:eastAsia="Times New Roman" w:cs="Times New Roman"/>
                      <w:iCs/>
                      <w:sz w:val="23"/>
                      <w:szCs w:val="23"/>
                      <w:lang w:val="vi-VN"/>
                    </w:rPr>
                    <w:t>Căn cứ Thông tư số </w:t>
                  </w:r>
                  <w:hyperlink r:id="rId11" w:tgtFrame="_blank" w:tooltip="Thông tư 55/2023/TT-BTC" w:history="1">
                    <w:r w:rsidRPr="003A3E50">
                      <w:rPr>
                        <w:rFonts w:eastAsia="Times New Roman" w:cs="Times New Roman"/>
                        <w:iCs/>
                        <w:sz w:val="23"/>
                        <w:szCs w:val="23"/>
                        <w:lang w:val="vi-VN"/>
                      </w:rPr>
                      <w:t>55/2023/TT-BTC</w:t>
                    </w:r>
                  </w:hyperlink>
                  <w:r w:rsidRPr="003A3E50">
                    <w:rPr>
                      <w:rFonts w:eastAsia="Times New Roman" w:cs="Times New Roman"/>
                      <w:iCs/>
                      <w:sz w:val="23"/>
                      <w:szCs w:val="23"/>
                      <w:lang w:val="vi-VN"/>
                    </w:rPr>
                    <w:t> ngày 15/8/2023 của Bộ trưởng Bộ Tài chính Quy định về quản lý, sử dụng và quyết toán kinh phí sự nghiệp từ nguồn ngân sách nhà nước thực hiện các chương trình mục ti</w:t>
                  </w:r>
                  <w:r w:rsidR="003A3E50">
                    <w:rPr>
                      <w:rFonts w:eastAsia="Times New Roman" w:cs="Times New Roman"/>
                      <w:iCs/>
                      <w:sz w:val="23"/>
                      <w:szCs w:val="23"/>
                      <w:lang w:val="vi-VN"/>
                    </w:rPr>
                    <w:t>êu quốc gia giai đoạn 2021-2025.</w:t>
                  </w:r>
                </w:p>
                <w:p w14:paraId="2E187A9D" w14:textId="77777777" w:rsidR="00E71367" w:rsidRPr="00A6032A" w:rsidRDefault="00E71367" w:rsidP="00B66CBA">
                  <w:pPr>
                    <w:shd w:val="clear" w:color="auto" w:fill="FFFFFF"/>
                    <w:jc w:val="both"/>
                    <w:rPr>
                      <w:rFonts w:ascii="Arial" w:eastAsia="Times New Roman" w:hAnsi="Arial" w:cs="Arial"/>
                      <w:color w:val="000000"/>
                      <w:sz w:val="18"/>
                      <w:szCs w:val="18"/>
                      <w:lang w:val="vi-VN"/>
                    </w:rPr>
                  </w:pPr>
                </w:p>
              </w:tc>
              <w:tc>
                <w:tcPr>
                  <w:tcW w:w="3402" w:type="dxa"/>
                </w:tcPr>
                <w:p w14:paraId="7C249952" w14:textId="77777777" w:rsidR="00CC5D71" w:rsidRPr="00CC5D71" w:rsidRDefault="00CC5D71" w:rsidP="00CC5D71">
                  <w:pPr>
                    <w:spacing w:after="80"/>
                    <w:jc w:val="both"/>
                    <w:rPr>
                      <w:noProof/>
                      <w:sz w:val="23"/>
                      <w:szCs w:val="23"/>
                      <w:lang w:val="vi-VN"/>
                    </w:rPr>
                  </w:pPr>
                  <w:r w:rsidRPr="00CC5D71">
                    <w:rPr>
                      <w:noProof/>
                      <w:sz w:val="23"/>
                      <w:szCs w:val="23"/>
                      <w:lang w:val="vi-VN"/>
                    </w:rPr>
                    <w:lastRenderedPageBreak/>
                    <w:t xml:space="preserve">Căn cứ Luật Tổ chức chính quyền địa phương số 72/2025/QH15; </w:t>
                  </w:r>
                </w:p>
                <w:p w14:paraId="231AD926" w14:textId="77777777" w:rsidR="00CC5D71" w:rsidRPr="00CC5D71" w:rsidRDefault="00CC5D71" w:rsidP="00CC5D71">
                  <w:pPr>
                    <w:spacing w:after="80"/>
                    <w:jc w:val="both"/>
                    <w:rPr>
                      <w:noProof/>
                      <w:sz w:val="23"/>
                      <w:szCs w:val="23"/>
                      <w:lang w:val="vi-VN"/>
                    </w:rPr>
                  </w:pPr>
                  <w:r w:rsidRPr="00CC5D71">
                    <w:rPr>
                      <w:noProof/>
                      <w:sz w:val="23"/>
                      <w:szCs w:val="23"/>
                      <w:lang w:val="vi-VN"/>
                    </w:rPr>
                    <w:t xml:space="preserve">Căn cứ Luật Ngân sách nhà nước số 89/2025/QH15; </w:t>
                  </w:r>
                </w:p>
                <w:p w14:paraId="5809521B" w14:textId="77777777" w:rsidR="00CC5D71" w:rsidRPr="00CC5D71" w:rsidRDefault="00CC5D71" w:rsidP="00CC5D71">
                  <w:pPr>
                    <w:spacing w:after="80"/>
                    <w:jc w:val="both"/>
                    <w:rPr>
                      <w:sz w:val="23"/>
                      <w:szCs w:val="23"/>
                      <w:lang w:val="vi-VN"/>
                    </w:rPr>
                  </w:pPr>
                  <w:r w:rsidRPr="00CC5D71">
                    <w:rPr>
                      <w:iCs/>
                      <w:sz w:val="23"/>
                      <w:szCs w:val="23"/>
                      <w:lang w:val="nl-NL"/>
                    </w:rPr>
                    <w:t>Căn cứ Luật Ban hành văn bản quy phạm pháp luật số 64/2025/QH15 được sửa đổi, bổ sung một số điều tại Luật số 87/2025/QH15;</w:t>
                  </w:r>
                  <w:r w:rsidRPr="00CC5D71">
                    <w:rPr>
                      <w:noProof/>
                      <w:sz w:val="23"/>
                      <w:szCs w:val="23"/>
                      <w:lang w:val="vi-VN"/>
                    </w:rPr>
                    <w:t xml:space="preserve"> </w:t>
                  </w:r>
                </w:p>
                <w:p w14:paraId="789FC4B3" w14:textId="77777777" w:rsidR="00CC5D71" w:rsidRPr="00CC5D71" w:rsidRDefault="00CC5D71" w:rsidP="00CC5D71">
                  <w:pPr>
                    <w:shd w:val="clear" w:color="auto" w:fill="FFFFFF"/>
                    <w:spacing w:after="80"/>
                    <w:jc w:val="both"/>
                    <w:rPr>
                      <w:sz w:val="23"/>
                      <w:szCs w:val="23"/>
                      <w:lang w:val="vi-VN"/>
                    </w:rPr>
                  </w:pPr>
                  <w:r w:rsidRPr="00CC5D71">
                    <w:rPr>
                      <w:sz w:val="23"/>
                      <w:szCs w:val="23"/>
                      <w:lang w:val="vi-VN"/>
                    </w:rPr>
                    <w:t xml:space="preserve">Căn cứ </w:t>
                  </w:r>
                  <w:r w:rsidRPr="00CC5D71">
                    <w:rPr>
                      <w:iCs/>
                      <w:sz w:val="23"/>
                      <w:szCs w:val="23"/>
                      <w:lang w:val="vi-VN"/>
                    </w:rPr>
                    <w:t>Quyết định số </w:t>
                  </w:r>
                  <w:hyperlink r:id="rId12" w:tgtFrame="_blank" w:tooltip="Quyết định 1373/QĐ-TTg" w:history="1">
                    <w:r w:rsidRPr="00CC5D71">
                      <w:rPr>
                        <w:iCs/>
                        <w:sz w:val="23"/>
                        <w:szCs w:val="23"/>
                        <w:lang w:val="vi-VN"/>
                      </w:rPr>
                      <w:t>1373/QĐ-TTg</w:t>
                    </w:r>
                  </w:hyperlink>
                  <w:r w:rsidRPr="00CC5D71">
                    <w:rPr>
                      <w:iCs/>
                      <w:sz w:val="23"/>
                      <w:szCs w:val="23"/>
                      <w:lang w:val="vi-VN"/>
                    </w:rPr>
                    <w:t> ngày 30/7/2021 của Thủ tướng Chính phủ Phê duyệt Đề án “Xây dựng xã hội học tập giai đoạn 2021-2030”;</w:t>
                  </w:r>
                </w:p>
                <w:p w14:paraId="244A00A3" w14:textId="77777777" w:rsidR="00CC5D71" w:rsidRPr="00CC5D71" w:rsidRDefault="00CC5D71" w:rsidP="00CC5D71">
                  <w:pPr>
                    <w:shd w:val="clear" w:color="auto" w:fill="FFFFFF"/>
                    <w:spacing w:after="80"/>
                    <w:jc w:val="both"/>
                    <w:rPr>
                      <w:color w:val="000000"/>
                      <w:sz w:val="23"/>
                      <w:szCs w:val="23"/>
                      <w:lang w:val="vi-VN"/>
                    </w:rPr>
                  </w:pPr>
                  <w:r w:rsidRPr="00CC5D71">
                    <w:rPr>
                      <w:iCs/>
                      <w:color w:val="000000"/>
                      <w:sz w:val="23"/>
                      <w:szCs w:val="23"/>
                      <w:lang w:val="vi-VN"/>
                    </w:rPr>
                    <w:t>Căn cứ Thông tư số 17/2022/TT-BTC ngày 08/3/2022 của Bộ trưởng Bộ Tài chính hướng dẫn quản lý và sử dụng kinh phí thực hiện Đề án “Xây dựng xã hội học tập giai đoạn 2021-2030”;</w:t>
                  </w:r>
                </w:p>
                <w:p w14:paraId="46073F90" w14:textId="77777777" w:rsidR="00E7493E" w:rsidRPr="00E71367" w:rsidRDefault="00E7493E" w:rsidP="00E7493E">
                  <w:pPr>
                    <w:spacing w:before="60" w:after="60"/>
                    <w:jc w:val="both"/>
                    <w:rPr>
                      <w:rFonts w:cs="Times New Roman"/>
                      <w:b/>
                      <w:bCs/>
                      <w:lang w:val="vi-VN"/>
                    </w:rPr>
                  </w:pPr>
                </w:p>
              </w:tc>
              <w:tc>
                <w:tcPr>
                  <w:tcW w:w="2728" w:type="dxa"/>
                </w:tcPr>
                <w:p w14:paraId="1F1E42B1" w14:textId="77777777" w:rsidR="00E7493E" w:rsidRPr="00B17EE5" w:rsidRDefault="00CC5D71" w:rsidP="00B17EE5">
                  <w:pPr>
                    <w:spacing w:before="60" w:after="60"/>
                    <w:jc w:val="both"/>
                    <w:rPr>
                      <w:rFonts w:cs="Times New Roman"/>
                      <w:bCs/>
                      <w:lang w:val="vi-VN"/>
                    </w:rPr>
                  </w:pPr>
                  <w:r w:rsidRPr="00CC5D71">
                    <w:rPr>
                      <w:bCs/>
                      <w:sz w:val="24"/>
                      <w:szCs w:val="24"/>
                      <w:lang w:val="vi-VN"/>
                    </w:rPr>
                    <w:t xml:space="preserve">Kế thừa </w:t>
                  </w:r>
                  <w:r w:rsidRPr="00CC5D71">
                    <w:rPr>
                      <w:rFonts w:cs="Times New Roman"/>
                      <w:bCs/>
                      <w:sz w:val="24"/>
                      <w:szCs w:val="24"/>
                      <w:lang w:val="vi-VN"/>
                    </w:rPr>
                    <w:t xml:space="preserve">Nghị quyết số 21/2022/NQ-HĐND ngày 12/9/2022 của HĐND tỉnh Quảng Ngãi </w:t>
                  </w:r>
                  <w:r w:rsidRPr="00CC5D71">
                    <w:rPr>
                      <w:rFonts w:eastAsia="Yu Gothic" w:cs="Times New Roman"/>
                      <w:bCs/>
                      <w:sz w:val="24"/>
                      <w:szCs w:val="24"/>
                      <w:lang w:val="vi-VN"/>
                    </w:rPr>
                    <w:t xml:space="preserve">Quy định nội dung và mức chi thực hiện Đề án “Xây dựng xã hội học tập giai đoạn 2021-2030” trên địa bàn tỉnh Quảng Ngãi và áp dụng một số </w:t>
                  </w:r>
                  <w:r w:rsidR="00B17EE5" w:rsidRPr="00B17EE5">
                    <w:rPr>
                      <w:rFonts w:eastAsia="Yu Gothic" w:cs="Times New Roman"/>
                      <w:bCs/>
                      <w:sz w:val="24"/>
                      <w:szCs w:val="24"/>
                      <w:lang w:val="vi-VN"/>
                    </w:rPr>
                    <w:t>Luật mớ</w:t>
                  </w:r>
                  <w:r w:rsidR="00B17EE5">
                    <w:rPr>
                      <w:rFonts w:eastAsia="Yu Gothic" w:cs="Times New Roman"/>
                      <w:bCs/>
                      <w:sz w:val="24"/>
                      <w:szCs w:val="24"/>
                      <w:lang w:val="vi-VN"/>
                    </w:rPr>
                    <w:t xml:space="preserve">i </w:t>
                  </w:r>
                  <w:r w:rsidR="00B17EE5" w:rsidRPr="00B17EE5">
                    <w:rPr>
                      <w:rFonts w:eastAsia="Calibri"/>
                      <w:sz w:val="23"/>
                      <w:szCs w:val="23"/>
                      <w:lang w:val="vi-VN"/>
                    </w:rPr>
                    <w:t>làm căn cứ</w:t>
                  </w:r>
                </w:p>
              </w:tc>
            </w:tr>
          </w:tbl>
          <w:p w14:paraId="528F3A99" w14:textId="77777777" w:rsidR="001D4936" w:rsidRPr="00576E6E" w:rsidRDefault="001D4936" w:rsidP="00792416">
            <w:pPr>
              <w:jc w:val="center"/>
              <w:rPr>
                <w:b/>
                <w:bCs/>
                <w:sz w:val="23"/>
                <w:szCs w:val="23"/>
                <w:lang w:val="nb-NO"/>
              </w:rPr>
            </w:pPr>
          </w:p>
          <w:p w14:paraId="5BC7D23A" w14:textId="77777777" w:rsidR="001D4936" w:rsidRPr="00576E6E" w:rsidRDefault="004C2239" w:rsidP="004C2239">
            <w:pPr>
              <w:rPr>
                <w:b/>
                <w:bCs/>
                <w:sz w:val="23"/>
                <w:szCs w:val="23"/>
                <w:lang w:val="nb-NO"/>
              </w:rPr>
            </w:pPr>
            <w:r w:rsidRPr="00576E6E">
              <w:rPr>
                <w:rFonts w:ascii="TimesNewRomanPS-BoldMT" w:hAnsi="TimesNewRomanPS-BoldMT"/>
                <w:b/>
                <w:bCs/>
                <w:color w:val="000000"/>
                <w:szCs w:val="28"/>
                <w:lang w:val="nb-NO"/>
              </w:rPr>
              <w:t>II. Về các nội dung chi, mức chi cụ thể</w:t>
            </w:r>
          </w:p>
          <w:p w14:paraId="1BD8E253" w14:textId="77777777" w:rsidR="001D4936" w:rsidRPr="00576E6E" w:rsidRDefault="001D4936" w:rsidP="00792416">
            <w:pPr>
              <w:jc w:val="center"/>
              <w:rPr>
                <w:b/>
                <w:bCs/>
                <w:sz w:val="23"/>
                <w:szCs w:val="23"/>
                <w:lang w:val="nb-NO"/>
              </w:rPr>
            </w:pPr>
          </w:p>
        </w:tc>
      </w:tr>
      <w:tr w:rsidR="00775553" w:rsidRPr="001A1781" w14:paraId="309B912D" w14:textId="77777777" w:rsidTr="005B0632">
        <w:trPr>
          <w:trHeight w:val="510"/>
        </w:trPr>
        <w:tc>
          <w:tcPr>
            <w:tcW w:w="420" w:type="dxa"/>
            <w:tcBorders>
              <w:top w:val="single" w:sz="4" w:space="0" w:color="auto"/>
            </w:tcBorders>
            <w:vAlign w:val="center"/>
          </w:tcPr>
          <w:p w14:paraId="4A56C73E" w14:textId="77777777" w:rsidR="00775553" w:rsidRPr="001A1781" w:rsidRDefault="00775553" w:rsidP="00775553">
            <w:pPr>
              <w:ind w:left="-113" w:right="-103"/>
              <w:jc w:val="center"/>
              <w:rPr>
                <w:b/>
                <w:bCs/>
                <w:sz w:val="23"/>
                <w:szCs w:val="23"/>
              </w:rPr>
            </w:pPr>
            <w:r w:rsidRPr="001A1781">
              <w:rPr>
                <w:b/>
                <w:bCs/>
                <w:sz w:val="23"/>
                <w:szCs w:val="23"/>
              </w:rPr>
              <w:lastRenderedPageBreak/>
              <w:t>TT</w:t>
            </w:r>
          </w:p>
        </w:tc>
        <w:tc>
          <w:tcPr>
            <w:tcW w:w="2963" w:type="dxa"/>
            <w:tcBorders>
              <w:top w:val="single" w:sz="4" w:space="0" w:color="auto"/>
            </w:tcBorders>
            <w:noWrap/>
            <w:vAlign w:val="center"/>
          </w:tcPr>
          <w:p w14:paraId="7E268071" w14:textId="77777777" w:rsidR="00775553" w:rsidRPr="001A1781" w:rsidRDefault="00775553" w:rsidP="00775553">
            <w:pPr>
              <w:jc w:val="center"/>
              <w:rPr>
                <w:b/>
                <w:sz w:val="23"/>
                <w:szCs w:val="23"/>
              </w:rPr>
            </w:pPr>
            <w:r w:rsidRPr="001A1781">
              <w:rPr>
                <w:b/>
                <w:sz w:val="23"/>
                <w:szCs w:val="23"/>
              </w:rPr>
              <w:t>Nội dung</w:t>
            </w:r>
          </w:p>
        </w:tc>
        <w:tc>
          <w:tcPr>
            <w:tcW w:w="2688" w:type="dxa"/>
            <w:tcBorders>
              <w:top w:val="single" w:sz="4" w:space="0" w:color="auto"/>
            </w:tcBorders>
            <w:vAlign w:val="center"/>
          </w:tcPr>
          <w:p w14:paraId="261A76F9" w14:textId="77777777" w:rsidR="00775553" w:rsidRPr="001A1781" w:rsidRDefault="00775553" w:rsidP="00775553">
            <w:pPr>
              <w:jc w:val="center"/>
              <w:rPr>
                <w:b/>
                <w:bCs/>
                <w:sz w:val="23"/>
                <w:szCs w:val="23"/>
              </w:rPr>
            </w:pPr>
            <w:r w:rsidRPr="001A1781">
              <w:rPr>
                <w:b/>
                <w:bCs/>
                <w:sz w:val="23"/>
                <w:szCs w:val="23"/>
              </w:rPr>
              <w:t>Nghị quyết số 21/2022/NQ-HĐND ngày 12/9/2022 của Quảng Ngãi (cũ)</w:t>
            </w:r>
          </w:p>
        </w:tc>
        <w:tc>
          <w:tcPr>
            <w:tcW w:w="3685" w:type="dxa"/>
            <w:tcBorders>
              <w:top w:val="single" w:sz="4" w:space="0" w:color="auto"/>
            </w:tcBorders>
            <w:vAlign w:val="center"/>
          </w:tcPr>
          <w:p w14:paraId="6052F51D" w14:textId="77777777" w:rsidR="00775553" w:rsidRPr="001A1781" w:rsidRDefault="00775553" w:rsidP="00775553">
            <w:pPr>
              <w:jc w:val="center"/>
              <w:rPr>
                <w:b/>
                <w:bCs/>
                <w:sz w:val="23"/>
                <w:szCs w:val="23"/>
              </w:rPr>
            </w:pPr>
            <w:r w:rsidRPr="001A1781">
              <w:rPr>
                <w:b/>
                <w:bCs/>
                <w:sz w:val="23"/>
                <w:szCs w:val="23"/>
              </w:rPr>
              <w:t>Nghị quyết số 58/2022/NQ-HĐND ngày 29/8/2022 Kon Tum (cũ)</w:t>
            </w:r>
          </w:p>
        </w:tc>
        <w:tc>
          <w:tcPr>
            <w:tcW w:w="2688" w:type="dxa"/>
            <w:tcBorders>
              <w:top w:val="single" w:sz="4" w:space="0" w:color="auto"/>
            </w:tcBorders>
            <w:vAlign w:val="center"/>
          </w:tcPr>
          <w:p w14:paraId="69923E63" w14:textId="77777777" w:rsidR="00775553" w:rsidRPr="001A1781" w:rsidRDefault="00775553" w:rsidP="00775553">
            <w:pPr>
              <w:jc w:val="center"/>
              <w:rPr>
                <w:b/>
                <w:bCs/>
                <w:sz w:val="23"/>
                <w:szCs w:val="23"/>
              </w:rPr>
            </w:pPr>
            <w:r w:rsidRPr="001A1781">
              <w:rPr>
                <w:b/>
                <w:bCs/>
                <w:sz w:val="23"/>
                <w:szCs w:val="23"/>
              </w:rPr>
              <w:t>Mức chi đề xuất của tỉnh Quảng Ngãi (mới)</w:t>
            </w:r>
          </w:p>
        </w:tc>
        <w:tc>
          <w:tcPr>
            <w:tcW w:w="3002" w:type="dxa"/>
            <w:tcBorders>
              <w:top w:val="single" w:sz="4" w:space="0" w:color="auto"/>
            </w:tcBorders>
            <w:vAlign w:val="center"/>
          </w:tcPr>
          <w:p w14:paraId="2A70488A" w14:textId="77777777" w:rsidR="00775553" w:rsidRPr="001A1781" w:rsidRDefault="00775553" w:rsidP="00775553">
            <w:pPr>
              <w:jc w:val="center"/>
              <w:rPr>
                <w:b/>
                <w:bCs/>
                <w:sz w:val="23"/>
                <w:szCs w:val="23"/>
              </w:rPr>
            </w:pPr>
            <w:r>
              <w:rPr>
                <w:b/>
                <w:bCs/>
                <w:sz w:val="23"/>
                <w:szCs w:val="23"/>
              </w:rPr>
              <w:t>Thuyết minh</w:t>
            </w:r>
          </w:p>
        </w:tc>
      </w:tr>
      <w:tr w:rsidR="00775553" w:rsidRPr="001A1781" w14:paraId="3D58D470" w14:textId="77777777" w:rsidTr="005B0632">
        <w:trPr>
          <w:trHeight w:val="841"/>
        </w:trPr>
        <w:tc>
          <w:tcPr>
            <w:tcW w:w="420" w:type="dxa"/>
            <w:hideMark/>
          </w:tcPr>
          <w:p w14:paraId="5B1D4A48" w14:textId="77777777" w:rsidR="00775553" w:rsidRPr="001A1781" w:rsidRDefault="00775553" w:rsidP="00775553">
            <w:pPr>
              <w:rPr>
                <w:b/>
                <w:bCs/>
                <w:sz w:val="23"/>
                <w:szCs w:val="23"/>
              </w:rPr>
            </w:pPr>
            <w:r w:rsidRPr="001A1781">
              <w:rPr>
                <w:b/>
                <w:bCs/>
                <w:sz w:val="23"/>
                <w:szCs w:val="23"/>
              </w:rPr>
              <w:t>1</w:t>
            </w:r>
          </w:p>
        </w:tc>
        <w:tc>
          <w:tcPr>
            <w:tcW w:w="2963" w:type="dxa"/>
            <w:hideMark/>
          </w:tcPr>
          <w:p w14:paraId="0DB78B52" w14:textId="77777777" w:rsidR="00775553" w:rsidRPr="001A1781" w:rsidRDefault="00775553" w:rsidP="00775553">
            <w:pPr>
              <w:jc w:val="both"/>
              <w:rPr>
                <w:sz w:val="23"/>
                <w:szCs w:val="23"/>
              </w:rPr>
            </w:pPr>
            <w:r w:rsidRPr="001A1781">
              <w:rPr>
                <w:sz w:val="23"/>
                <w:szCs w:val="23"/>
              </w:rPr>
              <w:t>Chi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hàng năm</w:t>
            </w:r>
          </w:p>
        </w:tc>
        <w:tc>
          <w:tcPr>
            <w:tcW w:w="2688" w:type="dxa"/>
            <w:hideMark/>
          </w:tcPr>
          <w:p w14:paraId="55687020" w14:textId="77777777" w:rsidR="00775553" w:rsidRPr="001A1781" w:rsidRDefault="00775553" w:rsidP="00775553">
            <w:pPr>
              <w:jc w:val="both"/>
              <w:rPr>
                <w:sz w:val="23"/>
                <w:szCs w:val="23"/>
              </w:rPr>
            </w:pPr>
            <w:r w:rsidRPr="001A1781">
              <w:rPr>
                <w:sz w:val="23"/>
                <w:szCs w:val="23"/>
              </w:rPr>
              <w:t>Áp dụng mức chi theo Nghị quyết số 21/2014/NQ-HĐND  ngày 31/7/2014 của Hội đồng nhân dân tỉnh Quảng Ngãi quy định một số mức chi có tính chất đặc thù trong công tác phổ biến giáo dục pháp luật và chuẩn tiếp cận pháp luật cho người dân tại cơ sở trên địa bàn tỉnh Quảng Ngãi.</w:t>
            </w:r>
          </w:p>
        </w:tc>
        <w:tc>
          <w:tcPr>
            <w:tcW w:w="3685" w:type="dxa"/>
            <w:hideMark/>
          </w:tcPr>
          <w:p w14:paraId="22A26354" w14:textId="77777777" w:rsidR="00775553" w:rsidRPr="001A1781" w:rsidRDefault="00775553" w:rsidP="00775553">
            <w:pPr>
              <w:jc w:val="both"/>
              <w:rPr>
                <w:sz w:val="23"/>
                <w:szCs w:val="23"/>
              </w:rPr>
            </w:pPr>
            <w:r w:rsidRPr="001A1781">
              <w:rPr>
                <w:sz w:val="23"/>
                <w:szCs w:val="23"/>
              </w:rPr>
              <w:t>Theo quy định tại NQ số 05/2014/NQ-HĐND ngày 11/7/2014 của HĐND tỉnh Kon Tum quy định mức chi đảm bảo cho công tác phổ biến, giáo dục pháp luật, chuẩn tiếp cận pháp luật của người dân tại cơ sở trên địa bàn tỉnh Kon Tum và khoản 2 Điều 1 NQ số 35/2020/NQ-HĐND ngày 14/7/2020 của HĐND Kon Tum sửa đổi, bổ sung, bãi bỏ Nghị quyết, nội dung trong NQ do HĐND Kon Tum ban hành.</w:t>
            </w:r>
          </w:p>
        </w:tc>
        <w:tc>
          <w:tcPr>
            <w:tcW w:w="2688" w:type="dxa"/>
            <w:hideMark/>
          </w:tcPr>
          <w:p w14:paraId="4AC94FFA" w14:textId="3B25F99F" w:rsidR="00967E41" w:rsidRPr="00181A4A" w:rsidRDefault="005C6A78" w:rsidP="00707C4A">
            <w:pPr>
              <w:jc w:val="both"/>
              <w:rPr>
                <w:i/>
                <w:sz w:val="24"/>
                <w:szCs w:val="24"/>
              </w:rPr>
            </w:pPr>
            <w:r w:rsidRPr="00D04977">
              <w:rPr>
                <w:sz w:val="24"/>
                <w:szCs w:val="24"/>
              </w:rPr>
              <w:t>Áp dụng mức chi thực hiện theo Nghị quyết số   ……</w:t>
            </w:r>
            <w:r w:rsidR="00590ACB" w:rsidRPr="00D04977">
              <w:rPr>
                <w:sz w:val="24"/>
                <w:szCs w:val="24"/>
                <w:lang w:val="vi-VN"/>
              </w:rPr>
              <w:t xml:space="preserve"> </w:t>
            </w:r>
            <w:r w:rsidR="00AC7F74">
              <w:rPr>
                <w:sz w:val="24"/>
                <w:szCs w:val="24"/>
              </w:rPr>
              <w:t>/2026</w:t>
            </w:r>
            <w:r w:rsidRPr="00D04977">
              <w:rPr>
                <w:sz w:val="24"/>
                <w:szCs w:val="24"/>
              </w:rPr>
              <w:t xml:space="preserve">/NQ-HĐND của HĐND tỉnh </w:t>
            </w:r>
            <w:r w:rsidR="00967E41" w:rsidRPr="00D04977">
              <w:rPr>
                <w:sz w:val="24"/>
                <w:szCs w:val="24"/>
              </w:rPr>
              <w:t>Quy định mức chi thực hiện công tác phổ biến, giáo dục pháp luật, chuẩn tiếp cận pháp luật và hòa giải ở cơ sở trên địa bàn tỉnh Quảng Ngãi</w:t>
            </w:r>
            <w:r w:rsidR="00495F83" w:rsidRPr="00D04977">
              <w:rPr>
                <w:sz w:val="24"/>
                <w:szCs w:val="24"/>
                <w:lang w:val="vi-VN"/>
              </w:rPr>
              <w:t xml:space="preserve"> </w:t>
            </w:r>
            <w:r w:rsidRPr="00D04977">
              <w:rPr>
                <w:i/>
                <w:sz w:val="23"/>
                <w:szCs w:val="23"/>
              </w:rPr>
              <w:t>(</w:t>
            </w:r>
            <w:r w:rsidR="00495F83" w:rsidRPr="00D04977">
              <w:rPr>
                <w:i/>
                <w:sz w:val="23"/>
                <w:szCs w:val="23"/>
              </w:rPr>
              <w:t xml:space="preserve">Thường trực HĐND đã thống nhất việc đăng lý xây dựng Nghị quyết theo trình tự, thủ tục rút gọn tại </w:t>
            </w:r>
            <w:r w:rsidR="00495F83" w:rsidRPr="00D04977">
              <w:rPr>
                <w:i/>
                <w:sz w:val="23"/>
                <w:szCs w:val="23"/>
              </w:rPr>
              <w:lastRenderedPageBreak/>
              <w:t>Công văn số 251/HĐND-PC ngày 05/12/2025</w:t>
            </w:r>
            <w:r w:rsidRPr="00D04977">
              <w:rPr>
                <w:i/>
                <w:sz w:val="23"/>
                <w:szCs w:val="23"/>
              </w:rPr>
              <w:t>)</w:t>
            </w:r>
          </w:p>
        </w:tc>
        <w:tc>
          <w:tcPr>
            <w:tcW w:w="3002" w:type="dxa"/>
            <w:hideMark/>
          </w:tcPr>
          <w:p w14:paraId="280E0815" w14:textId="77777777" w:rsidR="00775553" w:rsidRPr="006C33C6" w:rsidRDefault="00775553" w:rsidP="00707C4A">
            <w:pPr>
              <w:jc w:val="both"/>
              <w:rPr>
                <w:sz w:val="24"/>
                <w:szCs w:val="24"/>
              </w:rPr>
            </w:pPr>
            <w:r w:rsidRPr="001A1781">
              <w:rPr>
                <w:sz w:val="23"/>
                <w:szCs w:val="23"/>
              </w:rPr>
              <w:lastRenderedPageBreak/>
              <w:t> </w:t>
            </w:r>
            <w:r w:rsidR="006C33C6" w:rsidRPr="006C33C6">
              <w:rPr>
                <w:sz w:val="24"/>
                <w:szCs w:val="24"/>
              </w:rPr>
              <w:t xml:space="preserve">UBND đã trình Thường trực HĐND tại Tờ trình số </w:t>
            </w:r>
            <w:r w:rsidR="00473968">
              <w:rPr>
                <w:sz w:val="24"/>
                <w:szCs w:val="24"/>
              </w:rPr>
              <w:t>147/TTr</w:t>
            </w:r>
            <w:r w:rsidR="00473968">
              <w:rPr>
                <w:sz w:val="24"/>
                <w:szCs w:val="24"/>
                <w:lang w:val="vi-VN"/>
              </w:rPr>
              <w:t>-</w:t>
            </w:r>
            <w:r w:rsidR="006C33C6">
              <w:rPr>
                <w:sz w:val="24"/>
                <w:szCs w:val="24"/>
              </w:rPr>
              <w:t>UBND ngày 02/12/2025;</w:t>
            </w:r>
            <w:r w:rsidR="006C33C6">
              <w:rPr>
                <w:sz w:val="24"/>
                <w:szCs w:val="24"/>
                <w:lang w:val="vi-VN"/>
              </w:rPr>
              <w:t xml:space="preserve"> </w:t>
            </w:r>
            <w:r w:rsidR="006C33C6" w:rsidRPr="006C33C6">
              <w:rPr>
                <w:sz w:val="24"/>
                <w:szCs w:val="24"/>
              </w:rPr>
              <w:t>Thường trực HĐND đã thống nhất việc đăng lý xây dựng Nghị quyết theo trình tự, thủ tục rút gọn tại Công văn số 251/HĐND-PC ngày 05/12/2025</w:t>
            </w:r>
          </w:p>
        </w:tc>
      </w:tr>
      <w:tr w:rsidR="00775553" w:rsidRPr="001A1781" w14:paraId="12F9DE13" w14:textId="77777777" w:rsidTr="005B0632">
        <w:trPr>
          <w:trHeight w:val="70"/>
        </w:trPr>
        <w:tc>
          <w:tcPr>
            <w:tcW w:w="420" w:type="dxa"/>
            <w:hideMark/>
          </w:tcPr>
          <w:p w14:paraId="13DA991E" w14:textId="77777777" w:rsidR="00775553" w:rsidRPr="001A1781" w:rsidRDefault="00775553" w:rsidP="00775553">
            <w:pPr>
              <w:rPr>
                <w:b/>
                <w:bCs/>
                <w:sz w:val="23"/>
                <w:szCs w:val="23"/>
              </w:rPr>
            </w:pPr>
            <w:r w:rsidRPr="001A1781">
              <w:rPr>
                <w:b/>
                <w:bCs/>
                <w:sz w:val="23"/>
                <w:szCs w:val="23"/>
              </w:rPr>
              <w:lastRenderedPageBreak/>
              <w:t>2</w:t>
            </w:r>
          </w:p>
        </w:tc>
        <w:tc>
          <w:tcPr>
            <w:tcW w:w="2963" w:type="dxa"/>
            <w:hideMark/>
          </w:tcPr>
          <w:p w14:paraId="4430D1DD" w14:textId="77777777" w:rsidR="00775553" w:rsidRPr="001A1781" w:rsidRDefault="00775553" w:rsidP="00775553">
            <w:pPr>
              <w:jc w:val="both"/>
              <w:rPr>
                <w:sz w:val="23"/>
                <w:szCs w:val="23"/>
              </w:rPr>
            </w:pPr>
            <w:r w:rsidRPr="001A1781">
              <w:rPr>
                <w:sz w:val="23"/>
                <w:szCs w:val="23"/>
              </w:rPr>
              <w:t>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trên địa bàn.</w:t>
            </w:r>
          </w:p>
        </w:tc>
        <w:tc>
          <w:tcPr>
            <w:tcW w:w="2688" w:type="dxa"/>
            <w:hideMark/>
          </w:tcPr>
          <w:p w14:paraId="1FEFED72" w14:textId="77777777" w:rsidR="00775553" w:rsidRPr="001A1781" w:rsidRDefault="00775553" w:rsidP="00775553">
            <w:pPr>
              <w:jc w:val="both"/>
              <w:rPr>
                <w:sz w:val="23"/>
                <w:szCs w:val="23"/>
              </w:rPr>
            </w:pPr>
            <w:bookmarkStart w:id="7" w:name="RANGE!C5"/>
            <w:r w:rsidRPr="001A1781">
              <w:rPr>
                <w:sz w:val="23"/>
                <w:szCs w:val="23"/>
              </w:rPr>
              <w:t>Áp dụng mức chi tại Nghị quyết số 46/2017/NQ-HĐND ngày 29/9/2017 của HĐND tỉnh Quảng Ngãi quy định mức chi công tác phí, chi hội nghị áp dụng đối với các cơ quan, đơn vị của tỉnh Quảng Ngãi.</w:t>
            </w:r>
            <w:bookmarkEnd w:id="7"/>
          </w:p>
        </w:tc>
        <w:tc>
          <w:tcPr>
            <w:tcW w:w="3685" w:type="dxa"/>
            <w:hideMark/>
          </w:tcPr>
          <w:p w14:paraId="5274DFF1" w14:textId="77777777" w:rsidR="00775553" w:rsidRPr="001A1781" w:rsidRDefault="00775553" w:rsidP="008151B9">
            <w:pPr>
              <w:ind w:right="-52"/>
              <w:jc w:val="both"/>
              <w:rPr>
                <w:sz w:val="23"/>
                <w:szCs w:val="23"/>
              </w:rPr>
            </w:pPr>
            <w:bookmarkStart w:id="8" w:name="RANGE!D5"/>
            <w:r w:rsidRPr="001A1781">
              <w:rPr>
                <w:sz w:val="23"/>
                <w:szCs w:val="23"/>
              </w:rPr>
              <w:t>Theo quy định tạ</w:t>
            </w:r>
            <w:r>
              <w:rPr>
                <w:sz w:val="23"/>
                <w:szCs w:val="23"/>
              </w:rPr>
              <w:t xml:space="preserve">i NQ </w:t>
            </w:r>
            <w:r w:rsidRPr="001A1781">
              <w:rPr>
                <w:sz w:val="23"/>
                <w:szCs w:val="23"/>
              </w:rPr>
              <w:t>số 11/2017/NQ-HĐND ngày 21/7/2017 của HĐND tỉnh Kon Tum quy định chế độ công tác phí, chế độ chi tổ chức hội nghị, chế độ đón tiếp khách nước ngoài, chi tổ chức các hội nghị, hội thảo quốc tế và chi tiếp khách trong nước áp dụng trên địa bàn tỉnh Kon Tum và được sửa đổi, bổ sung một số điều tại NQ số 14/2019/NQ-HĐND ngày 18/7/2019, được sửa đổi, bổ sung Điều 1 tạ</w:t>
            </w:r>
            <w:r w:rsidR="008151B9">
              <w:rPr>
                <w:sz w:val="23"/>
                <w:szCs w:val="23"/>
              </w:rPr>
              <w:t>i NQ 46/2019/NQ-HĐND</w:t>
            </w:r>
            <w:r w:rsidRPr="001A1781">
              <w:rPr>
                <w:sz w:val="23"/>
                <w:szCs w:val="23"/>
              </w:rPr>
              <w:t>ngày 09/12/2019.</w:t>
            </w:r>
            <w:bookmarkEnd w:id="8"/>
          </w:p>
        </w:tc>
        <w:tc>
          <w:tcPr>
            <w:tcW w:w="2688" w:type="dxa"/>
            <w:hideMark/>
          </w:tcPr>
          <w:p w14:paraId="68BFFCDC" w14:textId="77777777" w:rsidR="00775553" w:rsidRPr="001A1781" w:rsidRDefault="00775553" w:rsidP="00775553">
            <w:pPr>
              <w:jc w:val="both"/>
              <w:rPr>
                <w:sz w:val="23"/>
                <w:szCs w:val="23"/>
              </w:rPr>
            </w:pPr>
            <w:r w:rsidRPr="001A1781">
              <w:rPr>
                <w:sz w:val="23"/>
                <w:szCs w:val="23"/>
              </w:rPr>
              <w:t>Áp dụng mức chi tại Nghị quyết số 15/2025/NQ-HĐND ngày 24/10/2025 của HĐND tỉnh Quảng Ngãi quy định mức chi công tác phí, chi hội nghị áp dụng đối với các cơ quan, đơn vị của tỉnh Quảng Ngãi</w:t>
            </w:r>
          </w:p>
        </w:tc>
        <w:tc>
          <w:tcPr>
            <w:tcW w:w="3002" w:type="dxa"/>
            <w:hideMark/>
          </w:tcPr>
          <w:p w14:paraId="28547BBC" w14:textId="77777777" w:rsidR="00775553" w:rsidRPr="004C2239" w:rsidRDefault="00775553" w:rsidP="00775553">
            <w:pPr>
              <w:jc w:val="both"/>
              <w:rPr>
                <w:sz w:val="23"/>
                <w:szCs w:val="23"/>
              </w:rPr>
            </w:pPr>
            <w:r w:rsidRPr="004C2239">
              <w:rPr>
                <w:sz w:val="23"/>
                <w:szCs w:val="23"/>
              </w:rPr>
              <w:t> </w:t>
            </w:r>
          </w:p>
          <w:p w14:paraId="4C1B9FC8" w14:textId="77777777" w:rsidR="004C2239" w:rsidRPr="004C2239" w:rsidRDefault="004C2239" w:rsidP="004C2239">
            <w:pPr>
              <w:jc w:val="both"/>
              <w:rPr>
                <w:sz w:val="23"/>
                <w:szCs w:val="23"/>
              </w:rPr>
            </w:pPr>
            <w:r w:rsidRPr="004C2239">
              <w:rPr>
                <w:rStyle w:val="fontstyle01"/>
                <w:sz w:val="23"/>
                <w:szCs w:val="23"/>
              </w:rPr>
              <w:t>Nghị quyết</w:t>
            </w:r>
            <w:r>
              <w:rPr>
                <w:rStyle w:val="fontstyle01"/>
                <w:sz w:val="23"/>
                <w:szCs w:val="23"/>
              </w:rPr>
              <w:t xml:space="preserve"> </w:t>
            </w:r>
            <w:r w:rsidRPr="004C2239">
              <w:rPr>
                <w:rStyle w:val="fontstyle01"/>
                <w:sz w:val="23"/>
                <w:szCs w:val="23"/>
              </w:rPr>
              <w:t>15/2025/NQ-HĐND</w:t>
            </w:r>
            <w:r>
              <w:rPr>
                <w:rStyle w:val="fontstyle01"/>
                <w:sz w:val="23"/>
                <w:szCs w:val="23"/>
              </w:rPr>
              <w:t xml:space="preserve"> </w:t>
            </w:r>
            <w:r w:rsidRPr="004C2239">
              <w:rPr>
                <w:rStyle w:val="fontstyle01"/>
                <w:sz w:val="23"/>
                <w:szCs w:val="23"/>
              </w:rPr>
              <w:t>ngày 24/10/2025 của</w:t>
            </w:r>
            <w:r w:rsidRPr="004C2239">
              <w:rPr>
                <w:rFonts w:ascii="TimesNewRomanPSMT" w:hAnsi="TimesNewRomanPSMT"/>
                <w:color w:val="000000"/>
                <w:sz w:val="23"/>
                <w:szCs w:val="23"/>
              </w:rPr>
              <w:br/>
            </w:r>
            <w:r w:rsidRPr="004C2239">
              <w:rPr>
                <w:rStyle w:val="fontstyle01"/>
                <w:sz w:val="23"/>
                <w:szCs w:val="23"/>
              </w:rPr>
              <w:t>HĐND tỉnh đã bãi</w:t>
            </w:r>
            <w:r>
              <w:rPr>
                <w:rStyle w:val="fontstyle01"/>
                <w:sz w:val="23"/>
                <w:szCs w:val="23"/>
              </w:rPr>
              <w:t xml:space="preserve"> </w:t>
            </w:r>
            <w:r w:rsidRPr="004C2239">
              <w:rPr>
                <w:rStyle w:val="fontstyle01"/>
                <w:sz w:val="23"/>
                <w:szCs w:val="23"/>
              </w:rPr>
              <w:t xml:space="preserve">bỏ các </w:t>
            </w:r>
            <w:r>
              <w:rPr>
                <w:rStyle w:val="fontstyle01"/>
                <w:sz w:val="23"/>
                <w:szCs w:val="23"/>
              </w:rPr>
              <w:t>N</w:t>
            </w:r>
            <w:r w:rsidRPr="004C2239">
              <w:rPr>
                <w:rStyle w:val="fontstyle01"/>
                <w:sz w:val="23"/>
                <w:szCs w:val="23"/>
              </w:rPr>
              <w:t>ghị quyết</w:t>
            </w:r>
            <w:r>
              <w:rPr>
                <w:rStyle w:val="fontstyle01"/>
                <w:sz w:val="23"/>
                <w:szCs w:val="23"/>
              </w:rPr>
              <w:t xml:space="preserve"> </w:t>
            </w:r>
            <w:r w:rsidRPr="004C2239">
              <w:rPr>
                <w:rStyle w:val="fontstyle01"/>
                <w:sz w:val="23"/>
                <w:szCs w:val="23"/>
              </w:rPr>
              <w:t>của 02 tỉnh trước</w:t>
            </w:r>
            <w:r w:rsidRPr="004C2239">
              <w:rPr>
                <w:rFonts w:ascii="TimesNewRomanPSMT" w:hAnsi="TimesNewRomanPSMT"/>
                <w:color w:val="000000"/>
                <w:sz w:val="23"/>
                <w:szCs w:val="23"/>
              </w:rPr>
              <w:br/>
            </w:r>
            <w:r w:rsidRPr="004C2239">
              <w:rPr>
                <w:rStyle w:val="fontstyle01"/>
                <w:sz w:val="23"/>
                <w:szCs w:val="23"/>
              </w:rPr>
              <w:t>đây</w:t>
            </w:r>
          </w:p>
          <w:p w14:paraId="5ACD963E" w14:textId="77777777" w:rsidR="00775553" w:rsidRPr="004C2239" w:rsidRDefault="00775553" w:rsidP="00775553">
            <w:pPr>
              <w:jc w:val="both"/>
              <w:rPr>
                <w:sz w:val="23"/>
                <w:szCs w:val="23"/>
              </w:rPr>
            </w:pPr>
          </w:p>
          <w:p w14:paraId="1C09B985" w14:textId="77777777" w:rsidR="00775553" w:rsidRPr="004C2239" w:rsidRDefault="00775553" w:rsidP="00775553">
            <w:pPr>
              <w:jc w:val="both"/>
              <w:rPr>
                <w:sz w:val="23"/>
                <w:szCs w:val="23"/>
              </w:rPr>
            </w:pPr>
          </w:p>
          <w:p w14:paraId="3C1ED37F" w14:textId="77777777" w:rsidR="00775553" w:rsidRPr="004C2239" w:rsidRDefault="00775553" w:rsidP="00775553">
            <w:pPr>
              <w:jc w:val="both"/>
              <w:rPr>
                <w:sz w:val="23"/>
                <w:szCs w:val="23"/>
              </w:rPr>
            </w:pPr>
          </w:p>
          <w:p w14:paraId="05A4811D" w14:textId="77777777" w:rsidR="00775553" w:rsidRPr="004C2239" w:rsidRDefault="00775553" w:rsidP="00775553">
            <w:pPr>
              <w:jc w:val="both"/>
              <w:rPr>
                <w:sz w:val="23"/>
                <w:szCs w:val="23"/>
              </w:rPr>
            </w:pPr>
          </w:p>
        </w:tc>
      </w:tr>
      <w:tr w:rsidR="00775553" w:rsidRPr="001A1781" w14:paraId="518545BB" w14:textId="77777777" w:rsidTr="005B0632">
        <w:trPr>
          <w:trHeight w:val="557"/>
        </w:trPr>
        <w:tc>
          <w:tcPr>
            <w:tcW w:w="420" w:type="dxa"/>
            <w:hideMark/>
          </w:tcPr>
          <w:p w14:paraId="16C93CA5" w14:textId="77777777" w:rsidR="00775553" w:rsidRPr="001A1781" w:rsidRDefault="00775553" w:rsidP="00775553">
            <w:pPr>
              <w:rPr>
                <w:b/>
                <w:bCs/>
                <w:sz w:val="23"/>
                <w:szCs w:val="23"/>
              </w:rPr>
            </w:pPr>
            <w:r w:rsidRPr="001A1781">
              <w:rPr>
                <w:b/>
                <w:bCs/>
                <w:sz w:val="23"/>
                <w:szCs w:val="23"/>
              </w:rPr>
              <w:t>3</w:t>
            </w:r>
          </w:p>
        </w:tc>
        <w:tc>
          <w:tcPr>
            <w:tcW w:w="2963" w:type="dxa"/>
            <w:tcBorders>
              <w:bottom w:val="single" w:sz="4" w:space="0" w:color="auto"/>
            </w:tcBorders>
            <w:hideMark/>
          </w:tcPr>
          <w:p w14:paraId="41285331" w14:textId="77777777" w:rsidR="00775553" w:rsidRPr="001A1781" w:rsidRDefault="00775553" w:rsidP="00775553">
            <w:pPr>
              <w:jc w:val="both"/>
              <w:rPr>
                <w:sz w:val="23"/>
                <w:szCs w:val="23"/>
              </w:rPr>
            </w:pPr>
            <w:r w:rsidRPr="001A1781">
              <w:rPr>
                <w:sz w:val="23"/>
                <w:szCs w:val="23"/>
              </w:rPr>
              <w:t>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w:t>
            </w:r>
          </w:p>
        </w:tc>
        <w:tc>
          <w:tcPr>
            <w:tcW w:w="2688" w:type="dxa"/>
            <w:hideMark/>
          </w:tcPr>
          <w:p w14:paraId="430C630E" w14:textId="77777777" w:rsidR="00775553" w:rsidRPr="001A1781" w:rsidRDefault="00775553" w:rsidP="00775553">
            <w:pPr>
              <w:jc w:val="both"/>
              <w:rPr>
                <w:sz w:val="23"/>
                <w:szCs w:val="23"/>
              </w:rPr>
            </w:pPr>
            <w:r w:rsidRPr="001A1781">
              <w:rPr>
                <w:sz w:val="23"/>
                <w:szCs w:val="23"/>
              </w:rPr>
              <w:t>Áp dụng mức chi tại Nghị quyết số 04/2019/NQ-HĐND ngày 10/4/2019 của Hội đồng nhân dân tỉnh Quảng Ngãi Quy định mức chi đào tạo, bồi dưỡng cán bộ, công chức, viên chức trên địa bàn tỉnh Quảng Ngãi</w:t>
            </w:r>
          </w:p>
        </w:tc>
        <w:tc>
          <w:tcPr>
            <w:tcW w:w="3685" w:type="dxa"/>
            <w:noWrap/>
            <w:hideMark/>
          </w:tcPr>
          <w:p w14:paraId="4D40EB46" w14:textId="77777777" w:rsidR="00775553" w:rsidRPr="001A1781" w:rsidRDefault="00775553" w:rsidP="00775553">
            <w:pPr>
              <w:jc w:val="both"/>
              <w:rPr>
                <w:sz w:val="23"/>
                <w:szCs w:val="23"/>
              </w:rPr>
            </w:pPr>
            <w:r w:rsidRPr="001A1781">
              <w:rPr>
                <w:sz w:val="23"/>
                <w:szCs w:val="23"/>
              </w:rPr>
              <w:t>Thực hiện theo quy định tại Nghị quyết số 37/2018/NQ-HĐND ngày 13/12/2018 của Hội đồng nhân dân tỉnh Kon Tum quy định mức chi đào tạo, bồi dưỡng cán bộ, công chức, viên chức trên địa bàn tỉnh Kon Tum.</w:t>
            </w:r>
          </w:p>
        </w:tc>
        <w:tc>
          <w:tcPr>
            <w:tcW w:w="2688" w:type="dxa"/>
            <w:hideMark/>
          </w:tcPr>
          <w:p w14:paraId="4E8EB871" w14:textId="2D64903B" w:rsidR="00181468" w:rsidRDefault="00181468" w:rsidP="00775553">
            <w:pPr>
              <w:jc w:val="both"/>
              <w:rPr>
                <w:sz w:val="24"/>
                <w:szCs w:val="24"/>
              </w:rPr>
            </w:pPr>
            <w:r w:rsidRPr="00F90788">
              <w:rPr>
                <w:sz w:val="24"/>
                <w:szCs w:val="24"/>
              </w:rPr>
              <w:t xml:space="preserve">Áp dụng mức chi thực hiện theo Nghị quyết số   </w:t>
            </w:r>
            <w:r>
              <w:rPr>
                <w:sz w:val="24"/>
                <w:szCs w:val="24"/>
              </w:rPr>
              <w:t>……</w:t>
            </w:r>
            <w:r w:rsidR="00013992">
              <w:rPr>
                <w:sz w:val="24"/>
                <w:szCs w:val="24"/>
              </w:rPr>
              <w:t>/2026</w:t>
            </w:r>
            <w:r w:rsidRPr="00F90788">
              <w:rPr>
                <w:sz w:val="24"/>
                <w:szCs w:val="24"/>
              </w:rPr>
              <w:t>/NQ-HĐND của HĐND tỉnh Quy định</w:t>
            </w:r>
          </w:p>
          <w:p w14:paraId="5446A2FD" w14:textId="77777777" w:rsidR="00775553" w:rsidRPr="001A1781" w:rsidRDefault="003B4979" w:rsidP="003B4979">
            <w:pPr>
              <w:jc w:val="both"/>
              <w:rPr>
                <w:sz w:val="23"/>
                <w:szCs w:val="23"/>
              </w:rPr>
            </w:pPr>
            <w:r w:rsidRPr="00427B59">
              <w:rPr>
                <w:sz w:val="23"/>
                <w:szCs w:val="23"/>
              </w:rPr>
              <w:t xml:space="preserve">Quy định mức chi đào tạo, bồi dưỡng cán bộ, công chức, viên chức trên địa bàn tỉnh Quảng Ngãi </w:t>
            </w:r>
            <w:r w:rsidRPr="00427B59">
              <w:rPr>
                <w:i/>
                <w:sz w:val="24"/>
                <w:szCs w:val="24"/>
              </w:rPr>
              <w:t>(Dự kiến thông qua tại Kỳ họp chuyên đề HĐND tỉnh trước tháng 6/2026)</w:t>
            </w:r>
          </w:p>
        </w:tc>
        <w:tc>
          <w:tcPr>
            <w:tcW w:w="3002" w:type="dxa"/>
            <w:hideMark/>
          </w:tcPr>
          <w:p w14:paraId="33E0C8D4" w14:textId="00AE233C" w:rsidR="00775553" w:rsidRPr="001A1781" w:rsidRDefault="00707C4A" w:rsidP="00427B59">
            <w:pPr>
              <w:jc w:val="both"/>
              <w:rPr>
                <w:sz w:val="23"/>
                <w:szCs w:val="23"/>
              </w:rPr>
            </w:pPr>
            <w:r>
              <w:rPr>
                <w:rStyle w:val="fontstyle21"/>
                <w:sz w:val="23"/>
                <w:szCs w:val="23"/>
              </w:rPr>
              <w:t xml:space="preserve">Theo </w:t>
            </w:r>
            <w:r w:rsidR="000622F7" w:rsidRPr="000622F7">
              <w:rPr>
                <w:rStyle w:val="fontstyle21"/>
                <w:sz w:val="23"/>
                <w:szCs w:val="23"/>
              </w:rPr>
              <w:t>KH xử lý VB 02</w:t>
            </w:r>
            <w:r w:rsidR="000622F7">
              <w:rPr>
                <w:rStyle w:val="fontstyle21"/>
                <w:sz w:val="23"/>
                <w:szCs w:val="23"/>
              </w:rPr>
              <w:t xml:space="preserve"> </w:t>
            </w:r>
            <w:r w:rsidR="000622F7" w:rsidRPr="000622F7">
              <w:rPr>
                <w:rStyle w:val="fontstyle21"/>
                <w:sz w:val="23"/>
                <w:szCs w:val="23"/>
              </w:rPr>
              <w:t xml:space="preserve">tỉnh, </w:t>
            </w:r>
            <w:r w:rsidR="000622F7" w:rsidRPr="000622F7">
              <w:rPr>
                <w:rStyle w:val="fontstyle01"/>
                <w:sz w:val="23"/>
                <w:szCs w:val="23"/>
              </w:rPr>
              <w:t>thì nghị quyết</w:t>
            </w:r>
            <w:r w:rsidR="000622F7">
              <w:rPr>
                <w:rStyle w:val="fontstyle01"/>
                <w:sz w:val="23"/>
                <w:szCs w:val="23"/>
              </w:rPr>
              <w:t xml:space="preserve"> </w:t>
            </w:r>
            <w:r w:rsidR="000622F7" w:rsidRPr="000622F7">
              <w:rPr>
                <w:rStyle w:val="fontstyle01"/>
                <w:sz w:val="23"/>
                <w:szCs w:val="23"/>
              </w:rPr>
              <w:t>thay thế các nghị</w:t>
            </w:r>
            <w:r w:rsidR="000622F7">
              <w:rPr>
                <w:rStyle w:val="fontstyle01"/>
                <w:sz w:val="23"/>
                <w:szCs w:val="23"/>
              </w:rPr>
              <w:t xml:space="preserve"> </w:t>
            </w:r>
            <w:r w:rsidR="000622F7" w:rsidRPr="000622F7">
              <w:rPr>
                <w:rStyle w:val="fontstyle01"/>
                <w:sz w:val="23"/>
                <w:szCs w:val="23"/>
              </w:rPr>
              <w:t>quyết được viện dẫn</w:t>
            </w:r>
            <w:r w:rsidR="000622F7">
              <w:rPr>
                <w:rStyle w:val="fontstyle01"/>
                <w:sz w:val="23"/>
                <w:szCs w:val="23"/>
              </w:rPr>
              <w:t xml:space="preserve"> </w:t>
            </w:r>
            <w:r w:rsidR="000622F7" w:rsidRPr="000622F7">
              <w:rPr>
                <w:rStyle w:val="fontstyle01"/>
                <w:sz w:val="23"/>
                <w:szCs w:val="23"/>
              </w:rPr>
              <w:t>áp dụng nội dung</w:t>
            </w:r>
            <w:r w:rsidR="000622F7">
              <w:rPr>
                <w:rStyle w:val="fontstyle01"/>
                <w:sz w:val="23"/>
                <w:szCs w:val="23"/>
              </w:rPr>
              <w:t xml:space="preserve"> </w:t>
            </w:r>
            <w:r w:rsidR="000622F7" w:rsidRPr="000622F7">
              <w:rPr>
                <w:rStyle w:val="fontstyle01"/>
                <w:sz w:val="23"/>
                <w:szCs w:val="23"/>
              </w:rPr>
              <w:t>này (của 02 tỉnh)</w:t>
            </w:r>
            <w:r w:rsidR="000622F7">
              <w:rPr>
                <w:rStyle w:val="fontstyle01"/>
                <w:sz w:val="23"/>
                <w:szCs w:val="23"/>
              </w:rPr>
              <w:t xml:space="preserve"> </w:t>
            </w:r>
            <w:r w:rsidR="000622F7" w:rsidRPr="000622F7">
              <w:rPr>
                <w:rStyle w:val="fontstyle01"/>
                <w:sz w:val="23"/>
                <w:szCs w:val="23"/>
              </w:rPr>
              <w:t>được dự kiến ban</w:t>
            </w:r>
            <w:r w:rsidR="000622F7">
              <w:rPr>
                <w:rStyle w:val="fontstyle01"/>
                <w:sz w:val="23"/>
                <w:szCs w:val="23"/>
              </w:rPr>
              <w:t xml:space="preserve"> </w:t>
            </w:r>
            <w:r w:rsidR="000622F7" w:rsidRPr="000622F7">
              <w:rPr>
                <w:rStyle w:val="fontstyle01"/>
                <w:sz w:val="23"/>
                <w:szCs w:val="23"/>
              </w:rPr>
              <w:t xml:space="preserve">hành mới trong </w:t>
            </w:r>
            <w:r w:rsidR="000622F7" w:rsidRPr="000622F7">
              <w:rPr>
                <w:rStyle w:val="fontstyle21"/>
                <w:sz w:val="23"/>
                <w:szCs w:val="23"/>
              </w:rPr>
              <w:t>kỳ</w:t>
            </w:r>
            <w:r w:rsidR="000622F7">
              <w:rPr>
                <w:rStyle w:val="fontstyle21"/>
                <w:sz w:val="23"/>
                <w:szCs w:val="23"/>
              </w:rPr>
              <w:t xml:space="preserve"> </w:t>
            </w:r>
            <w:r w:rsidR="000622F7" w:rsidRPr="000622F7">
              <w:rPr>
                <w:rStyle w:val="fontstyle21"/>
                <w:sz w:val="23"/>
                <w:szCs w:val="23"/>
              </w:rPr>
              <w:t>họp chuyên đề</w:t>
            </w:r>
            <w:r w:rsidR="000622F7" w:rsidRPr="000622F7">
              <w:rPr>
                <w:rFonts w:ascii="TimesNewRomanPS-BoldMT" w:hAnsi="TimesNewRomanPS-BoldMT"/>
                <w:b/>
                <w:bCs/>
                <w:color w:val="000000"/>
                <w:sz w:val="23"/>
                <w:szCs w:val="23"/>
              </w:rPr>
              <w:br/>
            </w:r>
            <w:r w:rsidR="000622F7" w:rsidRPr="000622F7">
              <w:rPr>
                <w:rStyle w:val="fontstyle21"/>
                <w:sz w:val="23"/>
                <w:szCs w:val="23"/>
              </w:rPr>
              <w:t xml:space="preserve">HĐND </w:t>
            </w:r>
            <w:r w:rsidR="00427B59">
              <w:rPr>
                <w:rStyle w:val="fontstyle21"/>
                <w:sz w:val="23"/>
                <w:szCs w:val="23"/>
              </w:rPr>
              <w:t xml:space="preserve">tỉnh trước </w:t>
            </w:r>
            <w:r w:rsidR="00326207">
              <w:rPr>
                <w:rStyle w:val="fontstyle21"/>
                <w:sz w:val="23"/>
                <w:szCs w:val="23"/>
              </w:rPr>
              <w:t>tháng 6</w:t>
            </w:r>
            <w:r w:rsidR="000622F7">
              <w:rPr>
                <w:rStyle w:val="fontstyle21"/>
                <w:sz w:val="23"/>
                <w:szCs w:val="23"/>
              </w:rPr>
              <w:t>/</w:t>
            </w:r>
            <w:r w:rsidR="000622F7" w:rsidRPr="000622F7">
              <w:rPr>
                <w:rStyle w:val="fontstyle21"/>
                <w:sz w:val="23"/>
                <w:szCs w:val="23"/>
              </w:rPr>
              <w:t xml:space="preserve">2026 </w:t>
            </w:r>
            <w:r w:rsidR="000622F7" w:rsidRPr="000622F7">
              <w:rPr>
                <w:rStyle w:val="fontstyle01"/>
                <w:sz w:val="23"/>
                <w:szCs w:val="23"/>
              </w:rPr>
              <w:t>nên tại dự</w:t>
            </w:r>
            <w:r w:rsidR="000622F7">
              <w:rPr>
                <w:rStyle w:val="fontstyle01"/>
                <w:sz w:val="23"/>
                <w:szCs w:val="23"/>
              </w:rPr>
              <w:t xml:space="preserve"> </w:t>
            </w:r>
            <w:r w:rsidR="000622F7" w:rsidRPr="000622F7">
              <w:rPr>
                <w:rStyle w:val="fontstyle01"/>
                <w:sz w:val="23"/>
                <w:szCs w:val="23"/>
              </w:rPr>
              <w:t>thảo tạm thời vẫn để</w:t>
            </w:r>
            <w:r w:rsidR="000622F7">
              <w:rPr>
                <w:rStyle w:val="fontstyle01"/>
                <w:sz w:val="23"/>
                <w:szCs w:val="23"/>
              </w:rPr>
              <w:t xml:space="preserve"> </w:t>
            </w:r>
            <w:r w:rsidR="000622F7" w:rsidRPr="000622F7">
              <w:rPr>
                <w:rStyle w:val="fontstyle01"/>
                <w:sz w:val="23"/>
                <w:szCs w:val="23"/>
              </w:rPr>
              <w:t>áp dụng Nghị quyết</w:t>
            </w:r>
            <w:r w:rsidR="000622F7">
              <w:rPr>
                <w:rStyle w:val="fontstyle01"/>
                <w:sz w:val="23"/>
                <w:szCs w:val="23"/>
              </w:rPr>
              <w:t xml:space="preserve"> </w:t>
            </w:r>
            <w:r w:rsidR="000622F7" w:rsidRPr="000622F7">
              <w:rPr>
                <w:rStyle w:val="fontstyle01"/>
                <w:sz w:val="23"/>
                <w:szCs w:val="23"/>
              </w:rPr>
              <w:t>số 04/2019/NQ</w:t>
            </w:r>
            <w:r w:rsidR="000622F7">
              <w:rPr>
                <w:rStyle w:val="fontstyle01"/>
                <w:sz w:val="23"/>
                <w:szCs w:val="23"/>
              </w:rPr>
              <w:t xml:space="preserve"> </w:t>
            </w:r>
            <w:r w:rsidR="000622F7" w:rsidRPr="000622F7">
              <w:rPr>
                <w:rStyle w:val="fontstyle01"/>
                <w:sz w:val="23"/>
                <w:szCs w:val="23"/>
              </w:rPr>
              <w:t>HĐND ngày</w:t>
            </w:r>
            <w:r w:rsidR="00427B59">
              <w:rPr>
                <w:rStyle w:val="fontstyle01"/>
                <w:sz w:val="23"/>
                <w:szCs w:val="23"/>
              </w:rPr>
              <w:t xml:space="preserve"> </w:t>
            </w:r>
            <w:r w:rsidR="000622F7" w:rsidRPr="000622F7">
              <w:rPr>
                <w:rStyle w:val="fontstyle01"/>
                <w:sz w:val="23"/>
                <w:szCs w:val="23"/>
              </w:rPr>
              <w:t>10/4/2019 của</w:t>
            </w:r>
            <w:r w:rsidR="000622F7">
              <w:rPr>
                <w:rStyle w:val="fontstyle01"/>
                <w:sz w:val="23"/>
                <w:szCs w:val="23"/>
              </w:rPr>
              <w:t xml:space="preserve"> </w:t>
            </w:r>
            <w:r w:rsidR="000622F7" w:rsidRPr="000622F7">
              <w:rPr>
                <w:rStyle w:val="fontstyle01"/>
                <w:sz w:val="23"/>
                <w:szCs w:val="23"/>
              </w:rPr>
              <w:t>HĐND tỉnh cho đến</w:t>
            </w:r>
            <w:r w:rsidR="000622F7">
              <w:rPr>
                <w:rStyle w:val="fontstyle01"/>
                <w:sz w:val="23"/>
                <w:szCs w:val="23"/>
              </w:rPr>
              <w:t xml:space="preserve"> </w:t>
            </w:r>
            <w:r w:rsidR="000622F7" w:rsidRPr="000622F7">
              <w:rPr>
                <w:rStyle w:val="fontstyle01"/>
                <w:sz w:val="23"/>
                <w:szCs w:val="23"/>
              </w:rPr>
              <w:t>khi có nghị quyết</w:t>
            </w:r>
            <w:r w:rsidR="000622F7">
              <w:rPr>
                <w:rStyle w:val="fontstyle01"/>
                <w:sz w:val="23"/>
                <w:szCs w:val="23"/>
              </w:rPr>
              <w:t xml:space="preserve"> </w:t>
            </w:r>
            <w:r w:rsidR="000622F7" w:rsidRPr="000622F7">
              <w:rPr>
                <w:rStyle w:val="fontstyle01"/>
                <w:sz w:val="23"/>
                <w:szCs w:val="23"/>
              </w:rPr>
              <w:t>mới ban hành thay</w:t>
            </w:r>
            <w:r w:rsidR="000622F7">
              <w:rPr>
                <w:rStyle w:val="fontstyle01"/>
                <w:sz w:val="23"/>
                <w:szCs w:val="23"/>
              </w:rPr>
              <w:t xml:space="preserve"> </w:t>
            </w:r>
            <w:r w:rsidR="000622F7" w:rsidRPr="000622F7">
              <w:rPr>
                <w:rStyle w:val="fontstyle01"/>
                <w:sz w:val="23"/>
                <w:szCs w:val="23"/>
              </w:rPr>
              <w:t>thế</w:t>
            </w:r>
            <w:r w:rsidR="00C026EB">
              <w:rPr>
                <w:rStyle w:val="fontstyle01"/>
                <w:sz w:val="23"/>
                <w:szCs w:val="23"/>
              </w:rPr>
              <w:t xml:space="preserve"> </w:t>
            </w:r>
            <w:r w:rsidR="00C026EB" w:rsidRPr="00EC2177">
              <w:rPr>
                <w:rStyle w:val="fontstyle01"/>
                <w:i/>
                <w:sz w:val="23"/>
                <w:szCs w:val="23"/>
              </w:rPr>
              <w:t>(Công văn số 5926/UBND-KTTH ngày 18/12/2025 giao Sở Tài chính tham mưu UBND tỉnh trình HĐND</w:t>
            </w:r>
            <w:r w:rsidR="00EC2177">
              <w:rPr>
                <w:sz w:val="24"/>
                <w:szCs w:val="24"/>
              </w:rPr>
              <w:t xml:space="preserve"> </w:t>
            </w:r>
            <w:r w:rsidR="00EC2177" w:rsidRPr="00EC2177">
              <w:rPr>
                <w:i/>
                <w:sz w:val="24"/>
                <w:szCs w:val="24"/>
              </w:rPr>
              <w:t xml:space="preserve">tỉnh </w:t>
            </w:r>
            <w:r w:rsidR="00EC2177" w:rsidRPr="00427B59">
              <w:rPr>
                <w:i/>
                <w:sz w:val="24"/>
                <w:szCs w:val="24"/>
              </w:rPr>
              <w:t>tại Kỳ họp chuyên đề HĐND tỉnh trước tháng 6/2026)</w:t>
            </w:r>
          </w:p>
        </w:tc>
      </w:tr>
      <w:tr w:rsidR="00775553" w:rsidRPr="001A1781" w14:paraId="062B02D7" w14:textId="77777777" w:rsidTr="005B0632">
        <w:trPr>
          <w:trHeight w:val="364"/>
        </w:trPr>
        <w:tc>
          <w:tcPr>
            <w:tcW w:w="420" w:type="dxa"/>
          </w:tcPr>
          <w:p w14:paraId="00D0F32D" w14:textId="77777777" w:rsidR="00775553" w:rsidRPr="001A1781" w:rsidRDefault="00775553" w:rsidP="00775553">
            <w:pPr>
              <w:rPr>
                <w:b/>
                <w:bCs/>
                <w:sz w:val="23"/>
                <w:szCs w:val="23"/>
              </w:rPr>
            </w:pPr>
            <w:r>
              <w:rPr>
                <w:b/>
                <w:bCs/>
                <w:sz w:val="23"/>
                <w:szCs w:val="23"/>
              </w:rPr>
              <w:t>4</w:t>
            </w:r>
          </w:p>
        </w:tc>
        <w:tc>
          <w:tcPr>
            <w:tcW w:w="15026" w:type="dxa"/>
            <w:gridSpan w:val="5"/>
            <w:tcBorders>
              <w:bottom w:val="single" w:sz="4" w:space="0" w:color="auto"/>
            </w:tcBorders>
          </w:tcPr>
          <w:p w14:paraId="6B0DA976" w14:textId="77777777" w:rsidR="00775553" w:rsidRPr="007831DE" w:rsidRDefault="00775553" w:rsidP="00775553">
            <w:pPr>
              <w:jc w:val="both"/>
              <w:rPr>
                <w:rFonts w:cs="Times New Roman"/>
                <w:sz w:val="23"/>
                <w:szCs w:val="23"/>
              </w:rPr>
            </w:pPr>
            <w:r w:rsidRPr="007831DE">
              <w:rPr>
                <w:rFonts w:eastAsia="Times New Roman" w:cs="Times New Roman"/>
                <w:color w:val="000000"/>
                <w:sz w:val="23"/>
                <w:szCs w:val="23"/>
              </w:rPr>
              <w:t>Chi kiểm tra, đánh giá, xếp loại/ công nhận các mô hình học tập</w:t>
            </w:r>
          </w:p>
        </w:tc>
      </w:tr>
      <w:tr w:rsidR="00775553" w:rsidRPr="001A1781" w14:paraId="5F5AD153" w14:textId="77777777" w:rsidTr="005B0632">
        <w:trPr>
          <w:trHeight w:val="556"/>
        </w:trPr>
        <w:tc>
          <w:tcPr>
            <w:tcW w:w="420" w:type="dxa"/>
            <w:hideMark/>
          </w:tcPr>
          <w:p w14:paraId="3B18B192" w14:textId="77777777" w:rsidR="00775553" w:rsidRPr="001A1781" w:rsidRDefault="00775553" w:rsidP="00775553">
            <w:pPr>
              <w:rPr>
                <w:b/>
                <w:bCs/>
                <w:sz w:val="23"/>
                <w:szCs w:val="23"/>
              </w:rPr>
            </w:pPr>
          </w:p>
        </w:tc>
        <w:tc>
          <w:tcPr>
            <w:tcW w:w="2963" w:type="dxa"/>
            <w:hideMark/>
          </w:tcPr>
          <w:p w14:paraId="3D61021C" w14:textId="77777777" w:rsidR="00775553" w:rsidRPr="001A1781" w:rsidRDefault="00775553" w:rsidP="00775553">
            <w:pPr>
              <w:jc w:val="both"/>
              <w:rPr>
                <w:sz w:val="23"/>
                <w:szCs w:val="23"/>
              </w:rPr>
            </w:pPr>
            <w:r w:rsidRPr="001A1781">
              <w:rPr>
                <w:noProof/>
                <w:sz w:val="23"/>
                <w:szCs w:val="23"/>
                <w:lang w:val="vi-VN" w:eastAsia="vi-VN"/>
              </w:rPr>
              <mc:AlternateContent>
                <mc:Choice Requires="wps">
                  <w:drawing>
                    <wp:anchor distT="0" distB="0" distL="114300" distR="114300" simplePos="0" relativeHeight="251703296" behindDoc="0" locked="0" layoutInCell="1" allowOverlap="1" wp14:anchorId="219A7A93" wp14:editId="3E5D1FE9">
                      <wp:simplePos x="0" y="0"/>
                      <wp:positionH relativeFrom="column">
                        <wp:posOffset>704850</wp:posOffset>
                      </wp:positionH>
                      <wp:positionV relativeFrom="paragraph">
                        <wp:posOffset>390525</wp:posOffset>
                      </wp:positionV>
                      <wp:extent cx="0" cy="200025"/>
                      <wp:effectExtent l="95250" t="0" r="95250" b="0"/>
                      <wp:wrapNone/>
                      <wp:docPr id="49361" name="Text Box 49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20002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8FC22D3" id="_x0000_t202" coordsize="21600,21600" o:spt="202" path="m,l,21600r21600,l21600,xe">
                      <v:stroke joinstyle="miter"/>
                      <v:path gradientshapeok="t" o:connecttype="rect"/>
                    </v:shapetype>
                    <v:shape id="Text Box 49361" o:spid="_x0000_s1026" type="#_x0000_t202" style="position:absolute;margin-left:55.5pt;margin-top:30.75pt;width:0;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" filled="f" stroked="f"/>
                  </w:pict>
                </mc:Fallback>
              </mc:AlternateContent>
            </w:r>
            <w:r w:rsidRPr="001A1781">
              <w:rPr>
                <w:sz w:val="23"/>
                <w:szCs w:val="23"/>
              </w:rPr>
              <w:t xml:space="preserve">a) Chi tổ chức các cuộc họp, hội nghị triển khai kế hoạch đánh giá, xếp loại/công nhận các mô hình học tập: </w:t>
            </w:r>
          </w:p>
        </w:tc>
        <w:tc>
          <w:tcPr>
            <w:tcW w:w="2688" w:type="dxa"/>
            <w:hideMark/>
          </w:tcPr>
          <w:p w14:paraId="4D9ABE5E" w14:textId="77777777" w:rsidR="00775553" w:rsidRPr="001A1781" w:rsidRDefault="00775553" w:rsidP="00775553">
            <w:pPr>
              <w:jc w:val="both"/>
              <w:rPr>
                <w:sz w:val="23"/>
                <w:szCs w:val="23"/>
              </w:rPr>
            </w:pPr>
            <w:r w:rsidRPr="001A1781">
              <w:rPr>
                <w:sz w:val="23"/>
                <w:szCs w:val="23"/>
              </w:rPr>
              <w:t>Áp dụng mức chi tại Nghị quyết số 46/2017/NQ-HĐND ngày 29/9/2017 của Hội đồng nhân dân tỉnh Quảng Ngãi quy định mức chi công tác phí, chi hội nghị áp dụng đối với các cơ quan, đơn vị của tỉnh Quảng Ngãi.</w:t>
            </w:r>
          </w:p>
        </w:tc>
        <w:tc>
          <w:tcPr>
            <w:tcW w:w="3685" w:type="dxa"/>
            <w:hideMark/>
          </w:tcPr>
          <w:p w14:paraId="4485FFF4" w14:textId="77777777" w:rsidR="00775553" w:rsidRPr="001A1781" w:rsidRDefault="00775553" w:rsidP="00775553">
            <w:pPr>
              <w:jc w:val="both"/>
              <w:rPr>
                <w:sz w:val="23"/>
                <w:szCs w:val="23"/>
              </w:rPr>
            </w:pPr>
            <w:r w:rsidRPr="001A1781">
              <w:rPr>
                <w:sz w:val="23"/>
                <w:szCs w:val="23"/>
              </w:rPr>
              <w:t>Theo quy định tại Nghị quyết số 11/2017/NQ-HĐND ngày 21/7/2017 của HĐND tỉnh Kon Tum quy định chế độ công tác phí, chế độ chi tổ chức hội nghị, chế độ đón tiếp khách nước ngoài, chi tổ chức các hội nghị, hội thảo quốc tế và chi tiếp khách trong nước áp dụng trên địa bàn tỉnh Kon Tum và được sửa đổi, bổ sung một số điều tại NQ số 14/2019/NQ-HĐND ngày 18/7/2019, được sửa đổi, bổ sung Điều 1 tại NQ số 46/2019/NQ-HĐND ngày 09/12/2019.</w:t>
            </w:r>
          </w:p>
        </w:tc>
        <w:tc>
          <w:tcPr>
            <w:tcW w:w="2688" w:type="dxa"/>
            <w:hideMark/>
          </w:tcPr>
          <w:p w14:paraId="63B90B61" w14:textId="77777777" w:rsidR="00775553" w:rsidRPr="001A1781" w:rsidRDefault="00775553" w:rsidP="00775553">
            <w:pPr>
              <w:jc w:val="both"/>
              <w:rPr>
                <w:sz w:val="23"/>
                <w:szCs w:val="23"/>
              </w:rPr>
            </w:pPr>
            <w:r w:rsidRPr="001A1781">
              <w:rPr>
                <w:sz w:val="23"/>
                <w:szCs w:val="23"/>
              </w:rPr>
              <w:t>Áp dụng mức chi tại Nghị quyết số 15/2025/NQ-HĐND ngày 24/10/2025 của HĐND tỉnh Quảng Ngãi quy định mức chi công tác phí, chi hội nghị áp dụng đối với các cơ quan, đơn vị của tỉnh Quảng Ngãi</w:t>
            </w:r>
          </w:p>
        </w:tc>
        <w:tc>
          <w:tcPr>
            <w:tcW w:w="3002" w:type="dxa"/>
            <w:hideMark/>
          </w:tcPr>
          <w:p w14:paraId="4CF67CFA" w14:textId="77777777" w:rsidR="000622F7" w:rsidRPr="004C2239" w:rsidRDefault="00775553" w:rsidP="000622F7">
            <w:pPr>
              <w:jc w:val="both"/>
              <w:rPr>
                <w:sz w:val="23"/>
                <w:szCs w:val="23"/>
              </w:rPr>
            </w:pPr>
            <w:r w:rsidRPr="001A1781">
              <w:rPr>
                <w:sz w:val="23"/>
                <w:szCs w:val="23"/>
              </w:rPr>
              <w:t> </w:t>
            </w:r>
            <w:r w:rsidR="000622F7" w:rsidRPr="004C2239">
              <w:rPr>
                <w:rStyle w:val="fontstyle01"/>
                <w:sz w:val="23"/>
                <w:szCs w:val="23"/>
              </w:rPr>
              <w:t>Nghị quyết</w:t>
            </w:r>
            <w:r w:rsidR="000622F7">
              <w:rPr>
                <w:rStyle w:val="fontstyle01"/>
                <w:sz w:val="23"/>
                <w:szCs w:val="23"/>
              </w:rPr>
              <w:t xml:space="preserve"> </w:t>
            </w:r>
            <w:r w:rsidR="000622F7" w:rsidRPr="004C2239">
              <w:rPr>
                <w:rStyle w:val="fontstyle01"/>
                <w:sz w:val="23"/>
                <w:szCs w:val="23"/>
              </w:rPr>
              <w:t>15/2025/NQ-HĐND</w:t>
            </w:r>
            <w:r w:rsidR="000622F7">
              <w:rPr>
                <w:rStyle w:val="fontstyle01"/>
                <w:sz w:val="23"/>
                <w:szCs w:val="23"/>
              </w:rPr>
              <w:t xml:space="preserve"> </w:t>
            </w:r>
            <w:r w:rsidR="000622F7" w:rsidRPr="004C2239">
              <w:rPr>
                <w:rStyle w:val="fontstyle01"/>
                <w:sz w:val="23"/>
                <w:szCs w:val="23"/>
              </w:rPr>
              <w:t>ngày 24/10/2025 của</w:t>
            </w:r>
            <w:r w:rsidR="000622F7" w:rsidRPr="004C2239">
              <w:rPr>
                <w:rFonts w:ascii="TimesNewRomanPSMT" w:hAnsi="TimesNewRomanPSMT"/>
                <w:color w:val="000000"/>
                <w:sz w:val="23"/>
                <w:szCs w:val="23"/>
              </w:rPr>
              <w:br/>
            </w:r>
            <w:r w:rsidR="000622F7" w:rsidRPr="004C2239">
              <w:rPr>
                <w:rStyle w:val="fontstyle01"/>
                <w:sz w:val="23"/>
                <w:szCs w:val="23"/>
              </w:rPr>
              <w:t>HĐND tỉnh đã bãi</w:t>
            </w:r>
            <w:r w:rsidR="000622F7">
              <w:rPr>
                <w:rStyle w:val="fontstyle01"/>
                <w:sz w:val="23"/>
                <w:szCs w:val="23"/>
              </w:rPr>
              <w:t xml:space="preserve"> </w:t>
            </w:r>
            <w:r w:rsidR="000622F7" w:rsidRPr="004C2239">
              <w:rPr>
                <w:rStyle w:val="fontstyle01"/>
                <w:sz w:val="23"/>
                <w:szCs w:val="23"/>
              </w:rPr>
              <w:t xml:space="preserve">bỏ các </w:t>
            </w:r>
            <w:r w:rsidR="000622F7">
              <w:rPr>
                <w:rStyle w:val="fontstyle01"/>
                <w:sz w:val="23"/>
                <w:szCs w:val="23"/>
              </w:rPr>
              <w:t>N</w:t>
            </w:r>
            <w:r w:rsidR="000622F7" w:rsidRPr="004C2239">
              <w:rPr>
                <w:rStyle w:val="fontstyle01"/>
                <w:sz w:val="23"/>
                <w:szCs w:val="23"/>
              </w:rPr>
              <w:t>ghị quyết</w:t>
            </w:r>
            <w:r w:rsidR="000622F7">
              <w:rPr>
                <w:rStyle w:val="fontstyle01"/>
                <w:sz w:val="23"/>
                <w:szCs w:val="23"/>
              </w:rPr>
              <w:t xml:space="preserve"> </w:t>
            </w:r>
            <w:r w:rsidR="000622F7" w:rsidRPr="004C2239">
              <w:rPr>
                <w:rStyle w:val="fontstyle01"/>
                <w:sz w:val="23"/>
                <w:szCs w:val="23"/>
              </w:rPr>
              <w:t>của 02 tỉnh trước</w:t>
            </w:r>
            <w:r w:rsidR="000622F7" w:rsidRPr="004C2239">
              <w:rPr>
                <w:rFonts w:ascii="TimesNewRomanPSMT" w:hAnsi="TimesNewRomanPSMT"/>
                <w:color w:val="000000"/>
                <w:sz w:val="23"/>
                <w:szCs w:val="23"/>
              </w:rPr>
              <w:br/>
            </w:r>
            <w:r w:rsidR="000622F7" w:rsidRPr="004C2239">
              <w:rPr>
                <w:rStyle w:val="fontstyle01"/>
                <w:sz w:val="23"/>
                <w:szCs w:val="23"/>
              </w:rPr>
              <w:t>đây</w:t>
            </w:r>
          </w:p>
          <w:p w14:paraId="27255C83" w14:textId="77777777" w:rsidR="00775553" w:rsidRPr="001A1781" w:rsidRDefault="00775553" w:rsidP="00775553">
            <w:pPr>
              <w:jc w:val="both"/>
              <w:rPr>
                <w:sz w:val="23"/>
                <w:szCs w:val="23"/>
              </w:rPr>
            </w:pPr>
          </w:p>
        </w:tc>
      </w:tr>
      <w:tr w:rsidR="00775553" w:rsidRPr="001A1781" w14:paraId="4DAC523E" w14:textId="77777777" w:rsidTr="005B0632">
        <w:trPr>
          <w:trHeight w:val="557"/>
        </w:trPr>
        <w:tc>
          <w:tcPr>
            <w:tcW w:w="420" w:type="dxa"/>
            <w:hideMark/>
          </w:tcPr>
          <w:p w14:paraId="3A1D3EC9" w14:textId="77777777" w:rsidR="00775553" w:rsidRPr="001A1781" w:rsidRDefault="00775553" w:rsidP="00775553">
            <w:pPr>
              <w:rPr>
                <w:b/>
                <w:bCs/>
                <w:sz w:val="23"/>
                <w:szCs w:val="23"/>
              </w:rPr>
            </w:pPr>
            <w:r w:rsidRPr="001A1781">
              <w:rPr>
                <w:b/>
                <w:bCs/>
                <w:sz w:val="23"/>
                <w:szCs w:val="23"/>
              </w:rPr>
              <w:t> </w:t>
            </w:r>
          </w:p>
        </w:tc>
        <w:tc>
          <w:tcPr>
            <w:tcW w:w="2963" w:type="dxa"/>
            <w:hideMark/>
          </w:tcPr>
          <w:p w14:paraId="0EFE7280" w14:textId="77777777" w:rsidR="00775553" w:rsidRPr="001A1781" w:rsidRDefault="00775553" w:rsidP="00775553">
            <w:pPr>
              <w:jc w:val="both"/>
              <w:rPr>
                <w:sz w:val="23"/>
                <w:szCs w:val="23"/>
              </w:rPr>
            </w:pPr>
            <w:r w:rsidRPr="001A1781">
              <w:rPr>
                <w:sz w:val="23"/>
                <w:szCs w:val="23"/>
              </w:rPr>
              <w:t xml:space="preserve">b) 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loại/công nhận các mô hình học tập: </w:t>
            </w:r>
          </w:p>
        </w:tc>
        <w:tc>
          <w:tcPr>
            <w:tcW w:w="2688" w:type="dxa"/>
            <w:hideMark/>
          </w:tcPr>
          <w:p w14:paraId="527B44EF" w14:textId="77777777" w:rsidR="00775553" w:rsidRPr="001A1781" w:rsidRDefault="00775553" w:rsidP="00775553">
            <w:pPr>
              <w:jc w:val="both"/>
              <w:rPr>
                <w:sz w:val="23"/>
                <w:szCs w:val="23"/>
              </w:rPr>
            </w:pPr>
            <w:r w:rsidRPr="001A1781">
              <w:rPr>
                <w:sz w:val="23"/>
                <w:szCs w:val="23"/>
              </w:rPr>
              <w:t>Áp dụng mức chi tại TT số 109/2016/TT-BTC ngày 30/6/2016 của Bộ TC quy định lập dự toán, quản lý, sử dụng và quyết toán kinh phí thực hiện các cuộc điều tra thống kê, Tổng điều tra thống kê quốc gia; căn cứ quy mô, tính chất của từng cuộc điều tra, Thủ trưởng đơn vị được giao chủ trì thực hiện nhiệm vụ quyết định mức chi phù hợp trong phạm vi dự toán được giao; TT số 37/2022/TT-BTC ngày 22/6/2022 của Bộ TC</w:t>
            </w:r>
          </w:p>
        </w:tc>
        <w:tc>
          <w:tcPr>
            <w:tcW w:w="3685" w:type="dxa"/>
            <w:hideMark/>
          </w:tcPr>
          <w:p w14:paraId="5E1053A6" w14:textId="77777777" w:rsidR="00775553" w:rsidRPr="001A1781" w:rsidRDefault="00775553" w:rsidP="00775553">
            <w:pPr>
              <w:jc w:val="both"/>
              <w:rPr>
                <w:sz w:val="23"/>
                <w:szCs w:val="23"/>
              </w:rPr>
            </w:pPr>
            <w:r w:rsidRPr="001A1781">
              <w:rPr>
                <w:sz w:val="23"/>
                <w:szCs w:val="23"/>
              </w:rPr>
              <w:t>Thực hiện theo quy định tại Nghị quyết số 19/2018/NQ-HĐND ngày 19/7/2018 của Hội đồng nhân dân tỉnh Kon Tum quy định nội dung chi, mức chi thực hiện các cuộc điều tra thống kê do ngân sách địa phương đảm bảo trên địa bàn tỉnh Kon Tum.</w:t>
            </w:r>
          </w:p>
        </w:tc>
        <w:tc>
          <w:tcPr>
            <w:tcW w:w="2688" w:type="dxa"/>
            <w:hideMark/>
          </w:tcPr>
          <w:p w14:paraId="3365E471" w14:textId="79984DB9" w:rsidR="00576E6E" w:rsidRPr="00F90788" w:rsidRDefault="00576E6E" w:rsidP="00C4465D">
            <w:pPr>
              <w:jc w:val="both"/>
              <w:rPr>
                <w:i/>
                <w:sz w:val="24"/>
                <w:szCs w:val="24"/>
              </w:rPr>
            </w:pPr>
            <w:r w:rsidRPr="00F90788">
              <w:rPr>
                <w:sz w:val="24"/>
                <w:szCs w:val="24"/>
              </w:rPr>
              <w:t xml:space="preserve">Áp dụng mức chi thực hiện theo Nghị quyết số   </w:t>
            </w:r>
            <w:r w:rsidR="00F90788">
              <w:rPr>
                <w:sz w:val="24"/>
                <w:szCs w:val="24"/>
              </w:rPr>
              <w:t>……</w:t>
            </w:r>
            <w:r w:rsidR="00013992">
              <w:rPr>
                <w:sz w:val="24"/>
                <w:szCs w:val="24"/>
              </w:rPr>
              <w:t>/2026</w:t>
            </w:r>
            <w:r w:rsidR="00F90788" w:rsidRPr="00F90788">
              <w:rPr>
                <w:sz w:val="24"/>
                <w:szCs w:val="24"/>
              </w:rPr>
              <w:t xml:space="preserve">/NQ-HĐND </w:t>
            </w:r>
            <w:r w:rsidRPr="00F90788">
              <w:rPr>
                <w:sz w:val="24"/>
                <w:szCs w:val="24"/>
              </w:rPr>
              <w:t>của HĐND tỉnh Quy định nội dung và mức chi của các cuộc điều tra thống kê do ngân sách địa phương bảo đảm</w:t>
            </w:r>
            <w:r w:rsidR="00F90788">
              <w:rPr>
                <w:sz w:val="24"/>
                <w:szCs w:val="24"/>
              </w:rPr>
              <w:t xml:space="preserve"> </w:t>
            </w:r>
            <w:r w:rsidR="00F90788" w:rsidRPr="00F90788">
              <w:rPr>
                <w:i/>
                <w:sz w:val="24"/>
                <w:szCs w:val="24"/>
              </w:rPr>
              <w:t>(Dự kiến thông qua tại Kỳ họp HĐND tỉnh tháng 5/2026)</w:t>
            </w:r>
          </w:p>
          <w:p w14:paraId="66F9946C" w14:textId="77777777" w:rsidR="00775553" w:rsidRPr="001A1781" w:rsidRDefault="00775553" w:rsidP="00775553">
            <w:pPr>
              <w:jc w:val="both"/>
              <w:rPr>
                <w:sz w:val="23"/>
                <w:szCs w:val="23"/>
              </w:rPr>
            </w:pPr>
          </w:p>
        </w:tc>
        <w:tc>
          <w:tcPr>
            <w:tcW w:w="3002" w:type="dxa"/>
            <w:hideMark/>
          </w:tcPr>
          <w:p w14:paraId="0FBFD71E" w14:textId="77777777" w:rsidR="000A3E5E" w:rsidRPr="001A1781" w:rsidRDefault="00707C4A" w:rsidP="00067D85">
            <w:pPr>
              <w:jc w:val="both"/>
              <w:rPr>
                <w:sz w:val="23"/>
                <w:szCs w:val="23"/>
              </w:rPr>
            </w:pPr>
            <w:r w:rsidRPr="00707C4A">
              <w:rPr>
                <w:rStyle w:val="fontstyle01"/>
                <w:rFonts w:ascii="Times New Roman" w:hAnsi="Times New Roman" w:cs="Times New Roman"/>
                <w:sz w:val="23"/>
                <w:szCs w:val="23"/>
              </w:rPr>
              <w:t xml:space="preserve">Theo </w:t>
            </w:r>
            <w:r w:rsidRPr="00707C4A">
              <w:rPr>
                <w:rStyle w:val="fontstyle21"/>
                <w:rFonts w:ascii="Times New Roman" w:hAnsi="Times New Roman" w:cs="Times New Roman"/>
                <w:sz w:val="23"/>
                <w:szCs w:val="23"/>
              </w:rPr>
              <w:t>KH xử lý VB 02 tỉnh</w:t>
            </w:r>
            <w:r w:rsidRPr="00707C4A">
              <w:rPr>
                <w:rStyle w:val="fontstyle01"/>
                <w:rFonts w:ascii="Times New Roman" w:hAnsi="Times New Roman" w:cs="Times New Roman"/>
                <w:sz w:val="23"/>
                <w:szCs w:val="23"/>
              </w:rPr>
              <w:t>, thì nghị quyết thay thế các</w:t>
            </w:r>
            <w:r w:rsidRPr="00707C4A">
              <w:rPr>
                <w:rFonts w:cs="Times New Roman"/>
                <w:color w:val="000000"/>
                <w:sz w:val="23"/>
                <w:szCs w:val="23"/>
              </w:rPr>
              <w:br/>
            </w:r>
            <w:r w:rsidRPr="00707C4A">
              <w:rPr>
                <w:rStyle w:val="fontstyle01"/>
                <w:rFonts w:ascii="Times New Roman" w:hAnsi="Times New Roman" w:cs="Times New Roman"/>
                <w:sz w:val="23"/>
                <w:szCs w:val="23"/>
              </w:rPr>
              <w:t>nghị quyết được viện dẫn áp dụng nội dung này (của 02</w:t>
            </w:r>
            <w:r w:rsidRPr="00707C4A">
              <w:rPr>
                <w:rFonts w:cs="Times New Roman"/>
                <w:color w:val="000000"/>
                <w:sz w:val="23"/>
                <w:szCs w:val="23"/>
              </w:rPr>
              <w:br/>
            </w:r>
            <w:r w:rsidRPr="00707C4A">
              <w:rPr>
                <w:rStyle w:val="fontstyle01"/>
                <w:rFonts w:ascii="Times New Roman" w:hAnsi="Times New Roman" w:cs="Times New Roman"/>
                <w:sz w:val="23"/>
                <w:szCs w:val="23"/>
              </w:rPr>
              <w:t xml:space="preserve">tỉnh) được dự kiến ban hành mới trong </w:t>
            </w:r>
            <w:r w:rsidRPr="00707C4A">
              <w:rPr>
                <w:rStyle w:val="fontstyle21"/>
                <w:rFonts w:ascii="Times New Roman" w:hAnsi="Times New Roman" w:cs="Times New Roman"/>
                <w:sz w:val="23"/>
                <w:szCs w:val="23"/>
              </w:rPr>
              <w:t>kỳ họp chuyên đề</w:t>
            </w:r>
            <w:r w:rsidRPr="00707C4A">
              <w:rPr>
                <w:rFonts w:cs="Times New Roman"/>
                <w:b/>
                <w:bCs/>
                <w:color w:val="000000"/>
                <w:sz w:val="23"/>
                <w:szCs w:val="23"/>
              </w:rPr>
              <w:br/>
            </w:r>
            <w:r w:rsidRPr="00707C4A">
              <w:rPr>
                <w:rStyle w:val="fontstyle21"/>
                <w:rFonts w:ascii="Times New Roman" w:hAnsi="Times New Roman" w:cs="Times New Roman"/>
                <w:sz w:val="23"/>
                <w:szCs w:val="23"/>
              </w:rPr>
              <w:t xml:space="preserve">HĐND tháng 5/2026 </w:t>
            </w:r>
            <w:r w:rsidRPr="00707C4A">
              <w:rPr>
                <w:rStyle w:val="fontstyle01"/>
                <w:rFonts w:ascii="Times New Roman" w:hAnsi="Times New Roman" w:cs="Times New Roman"/>
                <w:sz w:val="23"/>
                <w:szCs w:val="23"/>
              </w:rPr>
              <w:t xml:space="preserve">nên tại dự thảo tạm thời vẫn để áp dụng Nghị quyết </w:t>
            </w:r>
            <w:r w:rsidR="00B96CA4">
              <w:rPr>
                <w:rStyle w:val="fontstyle01"/>
                <w:rFonts w:ascii="Times New Roman" w:hAnsi="Times New Roman" w:cs="Times New Roman"/>
                <w:sz w:val="23"/>
                <w:szCs w:val="23"/>
              </w:rPr>
              <w:t xml:space="preserve">số </w:t>
            </w:r>
            <w:r w:rsidRPr="00707C4A">
              <w:rPr>
                <w:rStyle w:val="fontstyle01"/>
                <w:rFonts w:ascii="Times New Roman" w:hAnsi="Times New Roman" w:cs="Times New Roman"/>
                <w:sz w:val="23"/>
                <w:szCs w:val="23"/>
              </w:rPr>
              <w:t>07/2024/NQ</w:t>
            </w:r>
            <w:r w:rsidR="00326207">
              <w:rPr>
                <w:rStyle w:val="fontstyle01"/>
                <w:rFonts w:ascii="Times New Roman" w:hAnsi="Times New Roman" w:cs="Times New Roman"/>
                <w:sz w:val="23"/>
                <w:szCs w:val="23"/>
              </w:rPr>
              <w:t>-</w:t>
            </w:r>
            <w:r w:rsidRPr="00707C4A">
              <w:rPr>
                <w:rStyle w:val="fontstyle01"/>
                <w:rFonts w:ascii="Times New Roman" w:hAnsi="Times New Roman" w:cs="Times New Roman"/>
                <w:sz w:val="23"/>
                <w:szCs w:val="23"/>
              </w:rPr>
              <w:t>HĐND ngày 05/4/2024 của</w:t>
            </w:r>
            <w:r w:rsidR="00B96CA4">
              <w:rPr>
                <w:rStyle w:val="fontstyle01"/>
                <w:rFonts w:ascii="Times New Roman" w:hAnsi="Times New Roman" w:cs="Times New Roman"/>
                <w:sz w:val="23"/>
                <w:szCs w:val="23"/>
              </w:rPr>
              <w:t xml:space="preserve"> </w:t>
            </w:r>
            <w:r w:rsidRPr="00707C4A">
              <w:rPr>
                <w:rStyle w:val="fontstyle01"/>
                <w:rFonts w:ascii="Times New Roman" w:hAnsi="Times New Roman" w:cs="Times New Roman"/>
                <w:sz w:val="23"/>
                <w:szCs w:val="23"/>
              </w:rPr>
              <w:t xml:space="preserve">HĐND tỉnh Quảng Ngãi cho đến khi có </w:t>
            </w:r>
            <w:r w:rsidRPr="00707C4A">
              <w:rPr>
                <w:rStyle w:val="fontstyle01"/>
                <w:sz w:val="23"/>
                <w:szCs w:val="23"/>
              </w:rPr>
              <w:t>nghị quyết mới ban hành thay thế.</w:t>
            </w:r>
          </w:p>
        </w:tc>
      </w:tr>
      <w:tr w:rsidR="00775553" w:rsidRPr="001A1781" w14:paraId="03EE0E49" w14:textId="77777777" w:rsidTr="005B0632">
        <w:trPr>
          <w:trHeight w:val="2207"/>
        </w:trPr>
        <w:tc>
          <w:tcPr>
            <w:tcW w:w="420" w:type="dxa"/>
            <w:hideMark/>
          </w:tcPr>
          <w:p w14:paraId="66DC0523" w14:textId="77777777" w:rsidR="00775553" w:rsidRPr="001A1781" w:rsidRDefault="00775553" w:rsidP="00775553">
            <w:pPr>
              <w:rPr>
                <w:b/>
                <w:bCs/>
                <w:sz w:val="23"/>
                <w:szCs w:val="23"/>
              </w:rPr>
            </w:pPr>
            <w:r w:rsidRPr="001A1781">
              <w:rPr>
                <w:b/>
                <w:bCs/>
                <w:sz w:val="23"/>
                <w:szCs w:val="23"/>
              </w:rPr>
              <w:lastRenderedPageBreak/>
              <w:t>5</w:t>
            </w:r>
          </w:p>
        </w:tc>
        <w:tc>
          <w:tcPr>
            <w:tcW w:w="2963" w:type="dxa"/>
            <w:hideMark/>
          </w:tcPr>
          <w:p w14:paraId="21BE1025" w14:textId="77777777" w:rsidR="00775553" w:rsidRPr="001A1781" w:rsidRDefault="00775553" w:rsidP="00775553">
            <w:pPr>
              <w:jc w:val="both"/>
              <w:rPr>
                <w:sz w:val="23"/>
                <w:szCs w:val="23"/>
              </w:rPr>
            </w:pPr>
            <w:r w:rsidRPr="001A1781">
              <w:rPr>
                <w:sz w:val="23"/>
                <w:szCs w:val="23"/>
              </w:rPr>
              <w:t>Chi tiền điện (hoặc dầu đèn) đối với các lớp học tại Trung tâm học tập cộng đồng ban đêm; chi hỗ trợ tài liệu, sách giáo khoa, đồ dùng phục vụ công tác giảng dạy, học tập tại các Trung tâm học tập cộng đồng</w:t>
            </w:r>
          </w:p>
        </w:tc>
        <w:tc>
          <w:tcPr>
            <w:tcW w:w="2688" w:type="dxa"/>
            <w:hideMark/>
          </w:tcPr>
          <w:p w14:paraId="137E1BA8" w14:textId="77777777" w:rsidR="00775553" w:rsidRPr="001A1781" w:rsidRDefault="00775553" w:rsidP="00775553">
            <w:pPr>
              <w:jc w:val="both"/>
              <w:rPr>
                <w:sz w:val="23"/>
                <w:szCs w:val="23"/>
              </w:rPr>
            </w:pPr>
            <w:r w:rsidRPr="001A1781">
              <w:rPr>
                <w:sz w:val="23"/>
                <w:szCs w:val="23"/>
              </w:rPr>
              <w:t>Giám đốc Trung tâm học tập cộng đồng quyết định mức chi cụ thể trong phạm vi dự toán được giao của đơn vị để thực hiện và thanh toán theo hóa đơn thực tế phát sinh</w:t>
            </w:r>
          </w:p>
        </w:tc>
        <w:tc>
          <w:tcPr>
            <w:tcW w:w="3685" w:type="dxa"/>
            <w:hideMark/>
          </w:tcPr>
          <w:p w14:paraId="67F7C90E" w14:textId="77777777" w:rsidR="00775553" w:rsidRPr="001A1781" w:rsidRDefault="00775553" w:rsidP="00775553">
            <w:pPr>
              <w:jc w:val="both"/>
              <w:rPr>
                <w:sz w:val="23"/>
                <w:szCs w:val="23"/>
              </w:rPr>
            </w:pPr>
            <w:r w:rsidRPr="001A1781">
              <w:rPr>
                <w:sz w:val="23"/>
                <w:szCs w:val="23"/>
              </w:rPr>
              <w:t>Không có nội dung này</w:t>
            </w:r>
          </w:p>
        </w:tc>
        <w:tc>
          <w:tcPr>
            <w:tcW w:w="2688" w:type="dxa"/>
            <w:hideMark/>
          </w:tcPr>
          <w:p w14:paraId="27E913CD" w14:textId="77777777" w:rsidR="00775553" w:rsidRPr="001A1781" w:rsidRDefault="00775553" w:rsidP="00775553">
            <w:pPr>
              <w:jc w:val="both"/>
              <w:rPr>
                <w:sz w:val="23"/>
                <w:szCs w:val="23"/>
              </w:rPr>
            </w:pPr>
            <w:r w:rsidRPr="001A1781">
              <w:rPr>
                <w:sz w:val="23"/>
                <w:szCs w:val="23"/>
              </w:rPr>
              <w:t>Giám đốc Trung tâm học tập cộng đồng quyết định mức chi cụ thể trong phạm vi dự toán được giao của đơn vị để thực hiện và thanh toán theo hóa đơn thực tế phát sinh</w:t>
            </w:r>
          </w:p>
        </w:tc>
        <w:tc>
          <w:tcPr>
            <w:tcW w:w="3002" w:type="dxa"/>
            <w:hideMark/>
          </w:tcPr>
          <w:p w14:paraId="33A960A9" w14:textId="77777777" w:rsidR="00775553" w:rsidRPr="008F31B9" w:rsidRDefault="00775553" w:rsidP="00775553">
            <w:pPr>
              <w:jc w:val="both"/>
              <w:rPr>
                <w:sz w:val="23"/>
                <w:szCs w:val="23"/>
              </w:rPr>
            </w:pPr>
            <w:r w:rsidRPr="008F31B9">
              <w:rPr>
                <w:sz w:val="23"/>
                <w:szCs w:val="23"/>
              </w:rPr>
              <w:t xml:space="preserve">Kế thừa </w:t>
            </w:r>
            <w:r w:rsidRPr="008F31B9">
              <w:rPr>
                <w:rFonts w:cs="Times New Roman"/>
                <w:bCs/>
                <w:sz w:val="23"/>
                <w:szCs w:val="23"/>
              </w:rPr>
              <w:t>Nghị quyết số 21/2022/NQ-HĐND ngày 12/9/2022 của HĐND tỉnh Quảng Ngãi</w:t>
            </w:r>
          </w:p>
        </w:tc>
      </w:tr>
      <w:tr w:rsidR="000949B6" w:rsidRPr="001A1781" w14:paraId="4ACAC09C" w14:textId="77777777" w:rsidTr="005B0632">
        <w:trPr>
          <w:trHeight w:val="388"/>
        </w:trPr>
        <w:tc>
          <w:tcPr>
            <w:tcW w:w="420" w:type="dxa"/>
            <w:vMerge w:val="restart"/>
          </w:tcPr>
          <w:p w14:paraId="5EA6C6A8" w14:textId="77777777" w:rsidR="000949B6" w:rsidRPr="001A1781" w:rsidRDefault="000949B6" w:rsidP="00775553">
            <w:pPr>
              <w:rPr>
                <w:b/>
                <w:bCs/>
                <w:sz w:val="23"/>
                <w:szCs w:val="23"/>
              </w:rPr>
            </w:pPr>
            <w:r>
              <w:rPr>
                <w:b/>
                <w:bCs/>
                <w:sz w:val="23"/>
                <w:szCs w:val="23"/>
              </w:rPr>
              <w:t>6</w:t>
            </w:r>
          </w:p>
        </w:tc>
        <w:tc>
          <w:tcPr>
            <w:tcW w:w="15026" w:type="dxa"/>
            <w:gridSpan w:val="5"/>
          </w:tcPr>
          <w:p w14:paraId="3F200774" w14:textId="77777777" w:rsidR="000949B6" w:rsidRPr="008F31B9" w:rsidRDefault="000949B6" w:rsidP="00775553">
            <w:pPr>
              <w:jc w:val="both"/>
              <w:rPr>
                <w:sz w:val="23"/>
                <w:szCs w:val="23"/>
              </w:rPr>
            </w:pPr>
            <w:r w:rsidRPr="007831DE">
              <w:rPr>
                <w:sz w:val="23"/>
                <w:szCs w:val="23"/>
              </w:rPr>
              <w:t>Chi cho công tác xóa mù chữ và phổ cập giáo dục</w:t>
            </w:r>
          </w:p>
        </w:tc>
      </w:tr>
      <w:tr w:rsidR="000949B6" w:rsidRPr="001A1781" w14:paraId="3E7D50FF" w14:textId="77777777" w:rsidTr="005B0632">
        <w:trPr>
          <w:trHeight w:val="565"/>
        </w:trPr>
        <w:tc>
          <w:tcPr>
            <w:tcW w:w="420" w:type="dxa"/>
            <w:vMerge/>
            <w:tcBorders>
              <w:bottom w:val="nil"/>
            </w:tcBorders>
            <w:hideMark/>
          </w:tcPr>
          <w:p w14:paraId="5F4C07D9" w14:textId="77777777" w:rsidR="000949B6" w:rsidRPr="001A1781" w:rsidRDefault="000949B6" w:rsidP="00775553">
            <w:pPr>
              <w:rPr>
                <w:b/>
                <w:bCs/>
                <w:sz w:val="23"/>
                <w:szCs w:val="23"/>
              </w:rPr>
            </w:pPr>
          </w:p>
        </w:tc>
        <w:tc>
          <w:tcPr>
            <w:tcW w:w="2963" w:type="dxa"/>
            <w:hideMark/>
          </w:tcPr>
          <w:p w14:paraId="02D5EE3F" w14:textId="77777777" w:rsidR="000949B6" w:rsidRPr="001A1781" w:rsidRDefault="000949B6" w:rsidP="00775553">
            <w:pPr>
              <w:jc w:val="both"/>
              <w:rPr>
                <w:sz w:val="23"/>
                <w:szCs w:val="23"/>
              </w:rPr>
            </w:pPr>
            <w:r w:rsidRPr="001A1781">
              <w:rPr>
                <w:sz w:val="23"/>
                <w:szCs w:val="23"/>
              </w:rPr>
              <w:t>a) Chi cho các hoạt động điều tra, khảo sát phục vụ công tác xóa mù chữ và phổ cập giáo dục mầm non, phổ cập giáo dục tiểu học và phổ cập giáo dục trung học cơ sở</w:t>
            </w:r>
          </w:p>
        </w:tc>
        <w:tc>
          <w:tcPr>
            <w:tcW w:w="2688" w:type="dxa"/>
            <w:hideMark/>
          </w:tcPr>
          <w:p w14:paraId="64219544" w14:textId="77777777" w:rsidR="000949B6" w:rsidRPr="001A1781" w:rsidRDefault="000949B6" w:rsidP="00B17EE5">
            <w:pPr>
              <w:ind w:right="-93"/>
              <w:jc w:val="both"/>
              <w:rPr>
                <w:sz w:val="23"/>
                <w:szCs w:val="23"/>
              </w:rPr>
            </w:pPr>
            <w:r w:rsidRPr="001A1781">
              <w:rPr>
                <w:sz w:val="23"/>
                <w:szCs w:val="23"/>
              </w:rPr>
              <w:t>Áp dụng mức chi tại TT số 109/2016/TT-BTC ngày 30/6/2016 của Bộ TC quy định lập dự toán, quản lý, sử dụng và quyết toán kinh phí thực hiện các cuộc điều tra thống kê, Tổng điều tra thống kê quốc gia; căn cứ quy mô, tính chất của từng cuộc điều tra, Thủ trưởng đơn vị được giao chủ trì thực hiện nhiệm vụ quyết định mức chi phù hợp trong phạm vi dự toán đượ</w:t>
            </w:r>
            <w:r w:rsidR="00B17EE5">
              <w:rPr>
                <w:sz w:val="23"/>
                <w:szCs w:val="23"/>
              </w:rPr>
              <w:t>c giao; Thông tư</w:t>
            </w:r>
            <w:r w:rsidRPr="001A1781">
              <w:rPr>
                <w:sz w:val="23"/>
                <w:szCs w:val="23"/>
              </w:rPr>
              <w:t xml:space="preserve"> số 37/2022/TT-BTC ngày 22/6/2022 của Bộ</w:t>
            </w:r>
            <w:r w:rsidR="00B17EE5">
              <w:rPr>
                <w:sz w:val="23"/>
                <w:szCs w:val="23"/>
              </w:rPr>
              <w:t xml:space="preserve"> Tài chính</w:t>
            </w:r>
          </w:p>
        </w:tc>
        <w:tc>
          <w:tcPr>
            <w:tcW w:w="3685" w:type="dxa"/>
            <w:hideMark/>
          </w:tcPr>
          <w:p w14:paraId="77683C40" w14:textId="77777777" w:rsidR="000949B6" w:rsidRPr="001A1781" w:rsidRDefault="000949B6" w:rsidP="00775553">
            <w:pPr>
              <w:jc w:val="both"/>
              <w:rPr>
                <w:sz w:val="23"/>
                <w:szCs w:val="23"/>
              </w:rPr>
            </w:pPr>
            <w:r w:rsidRPr="001A1781">
              <w:rPr>
                <w:sz w:val="23"/>
                <w:szCs w:val="23"/>
              </w:rPr>
              <w:t>Thực hiện theo quy định tại Nghị quyết số 19/2018/NQ-HĐND ngày 19/7/2018 của Hội đồng nhân dân tỉnh Kon Tum quy định nội dung chi, mức chi thực hiện các cuộc điều tra thống kê do ngân sách địa phương đảm bảo trên địa bàn tỉnh Kon Tum.</w:t>
            </w:r>
          </w:p>
        </w:tc>
        <w:tc>
          <w:tcPr>
            <w:tcW w:w="2688" w:type="dxa"/>
            <w:hideMark/>
          </w:tcPr>
          <w:p w14:paraId="74DC5F54" w14:textId="60527D52" w:rsidR="00C4465D" w:rsidRPr="00F90788" w:rsidRDefault="00C4465D" w:rsidP="00C4465D">
            <w:pPr>
              <w:jc w:val="both"/>
              <w:rPr>
                <w:i/>
                <w:sz w:val="24"/>
                <w:szCs w:val="24"/>
              </w:rPr>
            </w:pPr>
            <w:r w:rsidRPr="00F90788">
              <w:rPr>
                <w:sz w:val="24"/>
                <w:szCs w:val="24"/>
              </w:rPr>
              <w:t xml:space="preserve">Áp dụng mức chi thực hiện theo Nghị quyết số   </w:t>
            </w:r>
            <w:r>
              <w:rPr>
                <w:sz w:val="24"/>
                <w:szCs w:val="24"/>
              </w:rPr>
              <w:t>……</w:t>
            </w:r>
            <w:r w:rsidR="00013992">
              <w:rPr>
                <w:sz w:val="24"/>
                <w:szCs w:val="24"/>
              </w:rPr>
              <w:t>/2026</w:t>
            </w:r>
            <w:r w:rsidRPr="00F90788">
              <w:rPr>
                <w:sz w:val="24"/>
                <w:szCs w:val="24"/>
              </w:rPr>
              <w:t>/NQ-HĐND của HĐND tỉnh Quy định nội dung và mức chi của các cuộc điều tra thống kê do ngân sách địa phương bảo đảm</w:t>
            </w:r>
            <w:r>
              <w:rPr>
                <w:sz w:val="24"/>
                <w:szCs w:val="24"/>
              </w:rPr>
              <w:t xml:space="preserve"> </w:t>
            </w:r>
            <w:r w:rsidRPr="00F90788">
              <w:rPr>
                <w:i/>
                <w:sz w:val="24"/>
                <w:szCs w:val="24"/>
              </w:rPr>
              <w:t>(Dự kiến thông qua tại Kỳ họp HĐND tỉnh tháng 5/2026)</w:t>
            </w:r>
          </w:p>
          <w:p w14:paraId="454211ED" w14:textId="77777777" w:rsidR="000949B6" w:rsidRPr="001A1781" w:rsidRDefault="000949B6" w:rsidP="00775553">
            <w:pPr>
              <w:jc w:val="both"/>
              <w:rPr>
                <w:sz w:val="23"/>
                <w:szCs w:val="23"/>
              </w:rPr>
            </w:pPr>
          </w:p>
        </w:tc>
        <w:tc>
          <w:tcPr>
            <w:tcW w:w="3002" w:type="dxa"/>
            <w:hideMark/>
          </w:tcPr>
          <w:p w14:paraId="12B6870B" w14:textId="77777777" w:rsidR="00707C4A" w:rsidRPr="00707C4A" w:rsidRDefault="00707C4A" w:rsidP="00707C4A">
            <w:pPr>
              <w:jc w:val="both"/>
              <w:rPr>
                <w:sz w:val="23"/>
                <w:szCs w:val="23"/>
              </w:rPr>
            </w:pPr>
            <w:r w:rsidRPr="00707C4A">
              <w:rPr>
                <w:rStyle w:val="fontstyle01"/>
                <w:rFonts w:ascii="Times New Roman" w:hAnsi="Times New Roman" w:cs="Times New Roman"/>
                <w:sz w:val="23"/>
                <w:szCs w:val="23"/>
              </w:rPr>
              <w:t xml:space="preserve">Theo </w:t>
            </w:r>
            <w:r w:rsidRPr="00707C4A">
              <w:rPr>
                <w:rStyle w:val="fontstyle21"/>
                <w:rFonts w:ascii="Times New Roman" w:hAnsi="Times New Roman" w:cs="Times New Roman"/>
                <w:sz w:val="23"/>
                <w:szCs w:val="23"/>
              </w:rPr>
              <w:t>KH xử lý VB 02 tỉnh</w:t>
            </w:r>
            <w:r w:rsidRPr="00707C4A">
              <w:rPr>
                <w:rStyle w:val="fontstyle01"/>
                <w:rFonts w:ascii="Times New Roman" w:hAnsi="Times New Roman" w:cs="Times New Roman"/>
                <w:sz w:val="23"/>
                <w:szCs w:val="23"/>
              </w:rPr>
              <w:t>, thì nghị quyết thay thế các</w:t>
            </w:r>
            <w:r w:rsidRPr="00707C4A">
              <w:rPr>
                <w:rFonts w:cs="Times New Roman"/>
                <w:color w:val="000000"/>
                <w:sz w:val="23"/>
                <w:szCs w:val="23"/>
              </w:rPr>
              <w:br/>
            </w:r>
            <w:r w:rsidRPr="00707C4A">
              <w:rPr>
                <w:rStyle w:val="fontstyle01"/>
                <w:rFonts w:ascii="Times New Roman" w:hAnsi="Times New Roman" w:cs="Times New Roman"/>
                <w:sz w:val="23"/>
                <w:szCs w:val="23"/>
              </w:rPr>
              <w:t>nghị quyết được viện dẫn áp dụng nội dung này (của 02</w:t>
            </w:r>
            <w:r w:rsidRPr="00707C4A">
              <w:rPr>
                <w:rFonts w:cs="Times New Roman"/>
                <w:color w:val="000000"/>
                <w:sz w:val="23"/>
                <w:szCs w:val="23"/>
              </w:rPr>
              <w:br/>
            </w:r>
            <w:r w:rsidRPr="00707C4A">
              <w:rPr>
                <w:rStyle w:val="fontstyle01"/>
                <w:rFonts w:ascii="Times New Roman" w:hAnsi="Times New Roman" w:cs="Times New Roman"/>
                <w:sz w:val="23"/>
                <w:szCs w:val="23"/>
              </w:rPr>
              <w:t xml:space="preserve">tỉnh) được dự kiến ban hành mới trong </w:t>
            </w:r>
            <w:r w:rsidRPr="00707C4A">
              <w:rPr>
                <w:rStyle w:val="fontstyle21"/>
                <w:rFonts w:ascii="Times New Roman" w:hAnsi="Times New Roman" w:cs="Times New Roman"/>
                <w:sz w:val="23"/>
                <w:szCs w:val="23"/>
              </w:rPr>
              <w:t>kỳ họp chuyên đề</w:t>
            </w:r>
            <w:r w:rsidRPr="00707C4A">
              <w:rPr>
                <w:rFonts w:cs="Times New Roman"/>
                <w:b/>
                <w:bCs/>
                <w:color w:val="000000"/>
                <w:sz w:val="23"/>
                <w:szCs w:val="23"/>
              </w:rPr>
              <w:br/>
            </w:r>
            <w:r w:rsidRPr="00707C4A">
              <w:rPr>
                <w:rStyle w:val="fontstyle21"/>
                <w:rFonts w:ascii="Times New Roman" w:hAnsi="Times New Roman" w:cs="Times New Roman"/>
                <w:sz w:val="23"/>
                <w:szCs w:val="23"/>
              </w:rPr>
              <w:t xml:space="preserve">HĐND tháng 5/2026 </w:t>
            </w:r>
            <w:r w:rsidRPr="00707C4A">
              <w:rPr>
                <w:rStyle w:val="fontstyle01"/>
                <w:rFonts w:ascii="Times New Roman" w:hAnsi="Times New Roman" w:cs="Times New Roman"/>
                <w:sz w:val="23"/>
                <w:szCs w:val="23"/>
              </w:rPr>
              <w:t>nên tại dự thảo tạm thời vẫn để áp dụng Nghị quyết 07/2024/NQ</w:t>
            </w:r>
            <w:r w:rsidRPr="00707C4A">
              <w:rPr>
                <w:rFonts w:cs="Times New Roman"/>
                <w:color w:val="000000"/>
                <w:sz w:val="23"/>
                <w:szCs w:val="23"/>
              </w:rPr>
              <w:br/>
            </w:r>
            <w:r w:rsidRPr="00707C4A">
              <w:rPr>
                <w:rStyle w:val="fontstyle01"/>
                <w:rFonts w:ascii="Times New Roman" w:hAnsi="Times New Roman" w:cs="Times New Roman"/>
                <w:sz w:val="23"/>
                <w:szCs w:val="23"/>
              </w:rPr>
              <w:t>HĐND ngày 05/4/2024 của</w:t>
            </w:r>
            <w:r w:rsidRPr="00707C4A">
              <w:rPr>
                <w:rFonts w:cs="Times New Roman"/>
                <w:color w:val="000000"/>
                <w:sz w:val="23"/>
                <w:szCs w:val="23"/>
              </w:rPr>
              <w:br/>
            </w:r>
            <w:r w:rsidRPr="00707C4A">
              <w:rPr>
                <w:rStyle w:val="fontstyle01"/>
                <w:rFonts w:ascii="Times New Roman" w:hAnsi="Times New Roman" w:cs="Times New Roman"/>
                <w:sz w:val="23"/>
                <w:szCs w:val="23"/>
              </w:rPr>
              <w:t xml:space="preserve">HĐND tỉnh Quảng Ngãi cho đến khi có </w:t>
            </w:r>
            <w:r w:rsidRPr="00707C4A">
              <w:rPr>
                <w:rStyle w:val="fontstyle01"/>
                <w:sz w:val="23"/>
                <w:szCs w:val="23"/>
              </w:rPr>
              <w:t>nghị quyết mới ban hành thay thế.</w:t>
            </w:r>
          </w:p>
          <w:p w14:paraId="7F677195" w14:textId="77777777" w:rsidR="000949B6" w:rsidRPr="001A1781" w:rsidRDefault="000949B6" w:rsidP="00707C4A">
            <w:pPr>
              <w:rPr>
                <w:sz w:val="23"/>
                <w:szCs w:val="23"/>
              </w:rPr>
            </w:pPr>
          </w:p>
        </w:tc>
      </w:tr>
      <w:tr w:rsidR="00775553" w:rsidRPr="001A1781" w14:paraId="027DE34D" w14:textId="77777777" w:rsidTr="005B0632">
        <w:trPr>
          <w:trHeight w:val="566"/>
        </w:trPr>
        <w:tc>
          <w:tcPr>
            <w:tcW w:w="420" w:type="dxa"/>
            <w:vMerge w:val="restart"/>
            <w:tcBorders>
              <w:top w:val="nil"/>
            </w:tcBorders>
            <w:hideMark/>
          </w:tcPr>
          <w:p w14:paraId="689927D1" w14:textId="77777777" w:rsidR="00775553" w:rsidRPr="001A1781" w:rsidRDefault="00775553" w:rsidP="00775553">
            <w:pPr>
              <w:rPr>
                <w:b/>
                <w:bCs/>
                <w:sz w:val="23"/>
                <w:szCs w:val="23"/>
              </w:rPr>
            </w:pPr>
          </w:p>
        </w:tc>
        <w:tc>
          <w:tcPr>
            <w:tcW w:w="2963" w:type="dxa"/>
            <w:tcBorders>
              <w:bottom w:val="single" w:sz="4" w:space="0" w:color="auto"/>
            </w:tcBorders>
            <w:hideMark/>
          </w:tcPr>
          <w:p w14:paraId="56996D51" w14:textId="77777777" w:rsidR="00775553" w:rsidRPr="001A1781" w:rsidRDefault="00775553" w:rsidP="00775553">
            <w:pPr>
              <w:jc w:val="both"/>
              <w:rPr>
                <w:sz w:val="23"/>
                <w:szCs w:val="23"/>
              </w:rPr>
            </w:pPr>
            <w:r w:rsidRPr="001A1781">
              <w:rPr>
                <w:sz w:val="23"/>
                <w:szCs w:val="23"/>
              </w:rPr>
              <w:t>b) Đối với các học  viên các lớp học xóa mù chữ được nhà nước hỗ trợ học phẩm</w:t>
            </w:r>
          </w:p>
        </w:tc>
        <w:tc>
          <w:tcPr>
            <w:tcW w:w="2688" w:type="dxa"/>
            <w:hideMark/>
          </w:tcPr>
          <w:p w14:paraId="5703A7F2" w14:textId="77777777" w:rsidR="00775553" w:rsidRPr="001A1781" w:rsidRDefault="00775553" w:rsidP="00775553">
            <w:pPr>
              <w:ind w:right="-103"/>
              <w:jc w:val="both"/>
              <w:rPr>
                <w:sz w:val="23"/>
                <w:szCs w:val="23"/>
              </w:rPr>
            </w:pPr>
            <w:r w:rsidRPr="001A1781">
              <w:rPr>
                <w:sz w:val="23"/>
                <w:szCs w:val="23"/>
              </w:rPr>
              <w:t>Học phẩm hỗ trợ cho học viên các lớp học xóa mù chữ trong phạm vi danh mục hỗ trợ học phẩm đối với cấp THCS quy định tại Khoản 6 Điề</w:t>
            </w:r>
            <w:r w:rsidR="00A62C16">
              <w:rPr>
                <w:sz w:val="23"/>
                <w:szCs w:val="23"/>
              </w:rPr>
              <w:t>u 2 Thông tư</w:t>
            </w:r>
            <w:r w:rsidRPr="001A1781">
              <w:rPr>
                <w:sz w:val="23"/>
                <w:szCs w:val="23"/>
              </w:rPr>
              <w:t xml:space="preserve"> liên tịch số 09/2009/TTLTBTC-BGDĐT ngày 29/5/2009 của Bộ trưởng Bộ TC, Bộ </w:t>
            </w:r>
            <w:r w:rsidRPr="001A1781">
              <w:rPr>
                <w:sz w:val="23"/>
                <w:szCs w:val="23"/>
              </w:rPr>
              <w:lastRenderedPageBreak/>
              <w:t>trưởng Bộ GDĐT Hướng dẫn một số chế độ tài chính đối với học sinh các trường phổ thông DTNT và các trường dự bị đại học dân tộc. UBND tỉnh phê duyệt danh mục tên học phẩm và số lượng học phẩm hỗ trợ cho học viên các lớp học xóa mù chữ</w:t>
            </w:r>
          </w:p>
        </w:tc>
        <w:tc>
          <w:tcPr>
            <w:tcW w:w="3685" w:type="dxa"/>
            <w:hideMark/>
          </w:tcPr>
          <w:p w14:paraId="424EE1DB" w14:textId="77777777" w:rsidR="00775553" w:rsidRPr="001A1781" w:rsidRDefault="00775553" w:rsidP="00775553">
            <w:pPr>
              <w:jc w:val="both"/>
              <w:rPr>
                <w:sz w:val="23"/>
                <w:szCs w:val="23"/>
              </w:rPr>
            </w:pPr>
            <w:r w:rsidRPr="001A1781">
              <w:rPr>
                <w:sz w:val="23"/>
                <w:szCs w:val="23"/>
              </w:rPr>
              <w:lastRenderedPageBreak/>
              <w:t>Không có nội dung này</w:t>
            </w:r>
          </w:p>
        </w:tc>
        <w:tc>
          <w:tcPr>
            <w:tcW w:w="2688" w:type="dxa"/>
            <w:hideMark/>
          </w:tcPr>
          <w:p w14:paraId="673B5A75" w14:textId="77777777" w:rsidR="00775553" w:rsidRPr="001A1781" w:rsidRDefault="00775553" w:rsidP="00775553">
            <w:pPr>
              <w:ind w:right="-132"/>
              <w:jc w:val="both"/>
              <w:rPr>
                <w:sz w:val="23"/>
                <w:szCs w:val="23"/>
              </w:rPr>
            </w:pPr>
            <w:r w:rsidRPr="001A1781">
              <w:rPr>
                <w:sz w:val="23"/>
                <w:szCs w:val="23"/>
              </w:rPr>
              <w:t xml:space="preserve">Học phẩm hỗ trợ cho học viên các lớp học xóa mù chữ trong phạm vi danh mục hỗ trợ học phẩm đối với cấp THCS quy định tại Khoản 6 Điều 2 TT </w:t>
            </w:r>
            <w:r>
              <w:rPr>
                <w:sz w:val="23"/>
                <w:szCs w:val="23"/>
              </w:rPr>
              <w:t xml:space="preserve">liên </w:t>
            </w:r>
            <w:r w:rsidRPr="001A1781">
              <w:rPr>
                <w:sz w:val="23"/>
                <w:szCs w:val="23"/>
              </w:rPr>
              <w:t xml:space="preserve">tịch số 09/2009/TTLTBTC-BGDĐT ngày 29/5/2009 của Bộ trưởng Bộ TC, Bộ </w:t>
            </w:r>
            <w:r w:rsidRPr="001A1781">
              <w:rPr>
                <w:sz w:val="23"/>
                <w:szCs w:val="23"/>
              </w:rPr>
              <w:lastRenderedPageBreak/>
              <w:t>trưởng Bộ GDĐT Hướng dẫn một số chế độ tài chính đối với học sinh các trường phổ thông DTNT và các trường dự bị đại học dân tộc. UBND tỉnh phê duyệt danh mục tên học phẩm và số lượng học phẩm hỗ trợ cho học viên các lớp học xóa mù chữ</w:t>
            </w:r>
          </w:p>
        </w:tc>
        <w:tc>
          <w:tcPr>
            <w:tcW w:w="3002" w:type="dxa"/>
            <w:hideMark/>
          </w:tcPr>
          <w:p w14:paraId="6B0A3AC7" w14:textId="77777777" w:rsidR="00775553" w:rsidRPr="001A1781" w:rsidRDefault="00775553" w:rsidP="00775553">
            <w:pPr>
              <w:jc w:val="both"/>
              <w:rPr>
                <w:sz w:val="23"/>
                <w:szCs w:val="23"/>
              </w:rPr>
            </w:pPr>
            <w:r w:rsidRPr="001A1781">
              <w:rPr>
                <w:sz w:val="23"/>
                <w:szCs w:val="23"/>
              </w:rPr>
              <w:lastRenderedPageBreak/>
              <w:t> </w:t>
            </w:r>
            <w:r w:rsidRPr="008F31B9">
              <w:rPr>
                <w:sz w:val="23"/>
                <w:szCs w:val="23"/>
              </w:rPr>
              <w:t xml:space="preserve">Kế thừa </w:t>
            </w:r>
            <w:r w:rsidRPr="008F31B9">
              <w:rPr>
                <w:rFonts w:cs="Times New Roman"/>
                <w:bCs/>
                <w:sz w:val="23"/>
                <w:szCs w:val="23"/>
              </w:rPr>
              <w:t>Nghị quyết số 21/2022/NQ-HĐND ngày 12/9/2022 của HĐND tỉnh Quảng Ngãi</w:t>
            </w:r>
          </w:p>
        </w:tc>
      </w:tr>
      <w:tr w:rsidR="00775553" w:rsidRPr="001A1781" w14:paraId="3F5467BB" w14:textId="77777777" w:rsidTr="005B0632">
        <w:trPr>
          <w:trHeight w:val="566"/>
        </w:trPr>
        <w:tc>
          <w:tcPr>
            <w:tcW w:w="420" w:type="dxa"/>
            <w:vMerge/>
          </w:tcPr>
          <w:p w14:paraId="3285AFF4" w14:textId="77777777" w:rsidR="00775553" w:rsidRPr="001A1781" w:rsidRDefault="00775553" w:rsidP="00775553">
            <w:pPr>
              <w:rPr>
                <w:b/>
                <w:bCs/>
                <w:sz w:val="23"/>
                <w:szCs w:val="23"/>
              </w:rPr>
            </w:pPr>
          </w:p>
        </w:tc>
        <w:tc>
          <w:tcPr>
            <w:tcW w:w="15026" w:type="dxa"/>
            <w:gridSpan w:val="5"/>
            <w:tcBorders>
              <w:bottom w:val="single" w:sz="4" w:space="0" w:color="auto"/>
            </w:tcBorders>
          </w:tcPr>
          <w:p w14:paraId="4DBBF936" w14:textId="77777777" w:rsidR="00775553" w:rsidRPr="007831DE" w:rsidRDefault="00775553" w:rsidP="00775553">
            <w:pPr>
              <w:jc w:val="both"/>
              <w:rPr>
                <w:rFonts w:cs="Times New Roman"/>
                <w:sz w:val="23"/>
                <w:szCs w:val="23"/>
              </w:rPr>
            </w:pPr>
            <w:r w:rsidRPr="007831DE">
              <w:rPr>
                <w:rFonts w:cs="Times New Roman"/>
                <w:sz w:val="23"/>
                <w:szCs w:val="23"/>
              </w:rPr>
              <w:t xml:space="preserve">c) </w:t>
            </w:r>
            <w:r w:rsidRPr="007831DE">
              <w:rPr>
                <w:rFonts w:eastAsia="Times New Roman" w:cs="Times New Roman"/>
                <w:color w:val="000000"/>
                <w:sz w:val="23"/>
                <w:szCs w:val="23"/>
              </w:rPr>
              <w:t>Ngân sách nhà nước hỗ trợ kinh phí chi thắp sáng ban đêm, chi mua sổ sách theo dõi quá trình học tập, sách giáo khoa dùng chung (đối với các lớp học phổ cập, xóa mù chữ ban đêm) và chi tuyên truyền, huy động người mù chữ, tái mù chữ đến lớp xóa mù chữ</w:t>
            </w:r>
          </w:p>
        </w:tc>
      </w:tr>
      <w:tr w:rsidR="00775553" w:rsidRPr="001A1781" w14:paraId="0E517BE7" w14:textId="77777777" w:rsidTr="005B0632">
        <w:trPr>
          <w:trHeight w:val="510"/>
        </w:trPr>
        <w:tc>
          <w:tcPr>
            <w:tcW w:w="420" w:type="dxa"/>
            <w:vMerge/>
            <w:hideMark/>
          </w:tcPr>
          <w:p w14:paraId="241C45FB" w14:textId="77777777" w:rsidR="00775553" w:rsidRPr="001A1781" w:rsidRDefault="00775553" w:rsidP="00775553">
            <w:pPr>
              <w:rPr>
                <w:b/>
                <w:bCs/>
                <w:sz w:val="23"/>
                <w:szCs w:val="23"/>
              </w:rPr>
            </w:pPr>
          </w:p>
        </w:tc>
        <w:tc>
          <w:tcPr>
            <w:tcW w:w="2963" w:type="dxa"/>
            <w:hideMark/>
          </w:tcPr>
          <w:p w14:paraId="6BB567E0" w14:textId="77777777" w:rsidR="00775553" w:rsidRPr="001A1781" w:rsidRDefault="00775553" w:rsidP="00775553">
            <w:pPr>
              <w:jc w:val="both"/>
              <w:rPr>
                <w:sz w:val="23"/>
                <w:szCs w:val="23"/>
              </w:rPr>
            </w:pPr>
            <w:r w:rsidRPr="001A1781">
              <w:rPr>
                <w:sz w:val="23"/>
                <w:szCs w:val="23"/>
              </w:rPr>
              <w:t>.-Chi hỗ trợ thắp sáng đối với các lớp học xóa mù chữ, phổ cập giáo dục ban đêm</w:t>
            </w:r>
          </w:p>
        </w:tc>
        <w:tc>
          <w:tcPr>
            <w:tcW w:w="2688" w:type="dxa"/>
            <w:hideMark/>
          </w:tcPr>
          <w:p w14:paraId="295EF756" w14:textId="77777777" w:rsidR="00775553" w:rsidRPr="001A1781" w:rsidRDefault="00775553" w:rsidP="00775553">
            <w:pPr>
              <w:jc w:val="both"/>
              <w:rPr>
                <w:sz w:val="23"/>
                <w:szCs w:val="23"/>
              </w:rPr>
            </w:pPr>
            <w:r w:rsidRPr="001A1781">
              <w:rPr>
                <w:sz w:val="23"/>
                <w:szCs w:val="23"/>
              </w:rPr>
              <w:t>Chi thực tế theo thời gian thực học nhưng không quá 80.000 đồng/lớp/tháng</w:t>
            </w:r>
          </w:p>
        </w:tc>
        <w:tc>
          <w:tcPr>
            <w:tcW w:w="3685" w:type="dxa"/>
            <w:noWrap/>
            <w:hideMark/>
          </w:tcPr>
          <w:p w14:paraId="3B435491" w14:textId="77777777" w:rsidR="00775553" w:rsidRPr="001A1781" w:rsidRDefault="00775553" w:rsidP="00775553">
            <w:pPr>
              <w:jc w:val="both"/>
              <w:rPr>
                <w:sz w:val="23"/>
                <w:szCs w:val="23"/>
              </w:rPr>
            </w:pPr>
            <w:r w:rsidRPr="001A1781">
              <w:rPr>
                <w:sz w:val="23"/>
                <w:szCs w:val="23"/>
              </w:rPr>
              <w:t>150.000đ/lớp/tháng</w:t>
            </w:r>
          </w:p>
        </w:tc>
        <w:tc>
          <w:tcPr>
            <w:tcW w:w="2688" w:type="dxa"/>
            <w:hideMark/>
          </w:tcPr>
          <w:p w14:paraId="21100C9A" w14:textId="77777777" w:rsidR="00775553" w:rsidRPr="001A1781" w:rsidRDefault="00775553" w:rsidP="00775553">
            <w:pPr>
              <w:jc w:val="both"/>
              <w:rPr>
                <w:sz w:val="23"/>
                <w:szCs w:val="23"/>
              </w:rPr>
            </w:pPr>
            <w:r w:rsidRPr="001A1781">
              <w:rPr>
                <w:sz w:val="23"/>
                <w:szCs w:val="23"/>
              </w:rPr>
              <w:t>Chi thực tế theo thời gian thực họ</w:t>
            </w:r>
            <w:r w:rsidR="00067D85">
              <w:rPr>
                <w:sz w:val="23"/>
                <w:szCs w:val="23"/>
              </w:rPr>
              <w:t>c nhưng không quá 8</w:t>
            </w:r>
            <w:r w:rsidRPr="001A1781">
              <w:rPr>
                <w:sz w:val="23"/>
                <w:szCs w:val="23"/>
              </w:rPr>
              <w:t>0.000/lớp/tháng</w:t>
            </w:r>
          </w:p>
        </w:tc>
        <w:tc>
          <w:tcPr>
            <w:tcW w:w="3002" w:type="dxa"/>
            <w:hideMark/>
          </w:tcPr>
          <w:p w14:paraId="7FC0462F" w14:textId="77777777" w:rsidR="00775553" w:rsidRPr="00A467EF" w:rsidRDefault="00067D85" w:rsidP="00067D85">
            <w:pPr>
              <w:ind w:right="-108" w:hanging="84"/>
              <w:rPr>
                <w:i/>
                <w:sz w:val="23"/>
                <w:szCs w:val="23"/>
              </w:rPr>
            </w:pPr>
            <w:r w:rsidRPr="008F31B9">
              <w:rPr>
                <w:sz w:val="23"/>
                <w:szCs w:val="23"/>
              </w:rPr>
              <w:t xml:space="preserve">Kế thừa </w:t>
            </w:r>
            <w:r w:rsidRPr="008F31B9">
              <w:rPr>
                <w:rFonts w:cs="Times New Roman"/>
                <w:bCs/>
                <w:sz w:val="23"/>
                <w:szCs w:val="23"/>
              </w:rPr>
              <w:t>Nghị quyết số 21/2022/NQ-HĐND ngày 12/9/2022 của HĐND tỉnh Quảng Ngãi</w:t>
            </w:r>
            <w:r>
              <w:rPr>
                <w:rFonts w:cs="Times New Roman"/>
                <w:bCs/>
                <w:sz w:val="23"/>
                <w:szCs w:val="23"/>
              </w:rPr>
              <w:t>:</w:t>
            </w:r>
            <w:r w:rsidRPr="00A467EF">
              <w:rPr>
                <w:i/>
                <w:sz w:val="24"/>
                <w:szCs w:val="26"/>
              </w:rPr>
              <w:t xml:space="preserve"> </w:t>
            </w:r>
            <w:r w:rsidR="00775553" w:rsidRPr="00A467EF">
              <w:rPr>
                <w:i/>
                <w:sz w:val="24"/>
                <w:szCs w:val="26"/>
              </w:rPr>
              <w:t xml:space="preserve">Mỗi lớp học tối đa 20 buổi/tháng, mỗi buổi hết 2kwh, 2.000đ/kwh </w:t>
            </w:r>
            <w:r w:rsidR="00775553" w:rsidRPr="00A467EF">
              <w:rPr>
                <w:i/>
                <w:sz w:val="22"/>
                <w:szCs w:val="26"/>
              </w:rPr>
              <w:t xml:space="preserve">(40kWh </w:t>
            </w:r>
            <w:r w:rsidR="00775553" w:rsidRPr="00A467EF">
              <w:rPr>
                <w:sz w:val="22"/>
                <w:szCs w:val="26"/>
              </w:rPr>
              <w:t>x</w:t>
            </w:r>
            <w:r w:rsidR="00775553" w:rsidRPr="00A467EF">
              <w:rPr>
                <w:i/>
                <w:sz w:val="22"/>
                <w:szCs w:val="26"/>
              </w:rPr>
              <w:t xml:space="preserve"> 2.000đ=80.000đ/lớp/tháng)</w:t>
            </w:r>
            <w:r w:rsidR="00775553" w:rsidRPr="00A467EF">
              <w:rPr>
                <w:i/>
                <w:sz w:val="24"/>
                <w:szCs w:val="26"/>
              </w:rPr>
              <w:t>; Tổng mứ</w:t>
            </w:r>
            <w:r w:rsidR="00A62C16">
              <w:rPr>
                <w:i/>
                <w:sz w:val="24"/>
                <w:szCs w:val="26"/>
              </w:rPr>
              <w:t>c chi: 8</w:t>
            </w:r>
            <w:r w:rsidR="00775553" w:rsidRPr="00A467EF">
              <w:rPr>
                <w:i/>
                <w:sz w:val="24"/>
                <w:szCs w:val="26"/>
              </w:rPr>
              <w:t>0.000đ/lớp/tháng.</w:t>
            </w:r>
          </w:p>
        </w:tc>
      </w:tr>
      <w:tr w:rsidR="00775553" w:rsidRPr="001A1781" w14:paraId="496420BD" w14:textId="77777777" w:rsidTr="005B0632">
        <w:trPr>
          <w:trHeight w:val="566"/>
        </w:trPr>
        <w:tc>
          <w:tcPr>
            <w:tcW w:w="420" w:type="dxa"/>
            <w:vMerge/>
            <w:hideMark/>
          </w:tcPr>
          <w:p w14:paraId="670B0616" w14:textId="77777777" w:rsidR="00775553" w:rsidRPr="001A1781" w:rsidRDefault="00775553" w:rsidP="00775553">
            <w:pPr>
              <w:rPr>
                <w:b/>
                <w:bCs/>
                <w:sz w:val="23"/>
                <w:szCs w:val="23"/>
              </w:rPr>
            </w:pPr>
          </w:p>
        </w:tc>
        <w:tc>
          <w:tcPr>
            <w:tcW w:w="2963" w:type="dxa"/>
            <w:hideMark/>
          </w:tcPr>
          <w:p w14:paraId="2CF56A89" w14:textId="77777777" w:rsidR="00775553" w:rsidRPr="001A1781" w:rsidRDefault="00775553" w:rsidP="00775553">
            <w:pPr>
              <w:jc w:val="both"/>
              <w:rPr>
                <w:sz w:val="23"/>
                <w:szCs w:val="23"/>
              </w:rPr>
            </w:pPr>
            <w:r w:rsidRPr="001A1781">
              <w:rPr>
                <w:sz w:val="23"/>
                <w:szCs w:val="23"/>
              </w:rPr>
              <w:t>.-Chi hỗ trợ mua hồ sơ, sổ sách theo dõi quá trình học tập và văn phòng phẩm cho giáo viên để hoàn thành 01 môn học ở lớp phổ cập giáo dục, xóa mù chữ ban đêm</w:t>
            </w:r>
          </w:p>
        </w:tc>
        <w:tc>
          <w:tcPr>
            <w:tcW w:w="2688" w:type="dxa"/>
            <w:hideMark/>
          </w:tcPr>
          <w:p w14:paraId="5E04DCDD" w14:textId="77777777" w:rsidR="00775553" w:rsidRPr="001A1781" w:rsidRDefault="00775553" w:rsidP="00775553">
            <w:pPr>
              <w:jc w:val="both"/>
              <w:rPr>
                <w:sz w:val="23"/>
                <w:szCs w:val="23"/>
              </w:rPr>
            </w:pPr>
            <w:r w:rsidRPr="001A1781">
              <w:rPr>
                <w:sz w:val="23"/>
                <w:szCs w:val="23"/>
              </w:rPr>
              <w:t>Chi theo thực tế nhưng không quá 120.000 đồng/lớp</w:t>
            </w:r>
          </w:p>
        </w:tc>
        <w:tc>
          <w:tcPr>
            <w:tcW w:w="3685" w:type="dxa"/>
            <w:noWrap/>
            <w:hideMark/>
          </w:tcPr>
          <w:p w14:paraId="7B99F4FB" w14:textId="77777777" w:rsidR="00775553" w:rsidRPr="001A1781" w:rsidRDefault="00775553" w:rsidP="00775553">
            <w:pPr>
              <w:jc w:val="both"/>
              <w:rPr>
                <w:sz w:val="23"/>
                <w:szCs w:val="23"/>
              </w:rPr>
            </w:pPr>
            <w:r w:rsidRPr="001A1781">
              <w:rPr>
                <w:sz w:val="23"/>
                <w:szCs w:val="23"/>
              </w:rPr>
              <w:t>50.000đ/lớp/học kỳ</w:t>
            </w:r>
          </w:p>
        </w:tc>
        <w:tc>
          <w:tcPr>
            <w:tcW w:w="2688" w:type="dxa"/>
            <w:hideMark/>
          </w:tcPr>
          <w:p w14:paraId="5C583432" w14:textId="77777777" w:rsidR="00775553" w:rsidRPr="001A1781" w:rsidRDefault="00775553" w:rsidP="00775553">
            <w:pPr>
              <w:jc w:val="both"/>
              <w:rPr>
                <w:sz w:val="23"/>
                <w:szCs w:val="23"/>
              </w:rPr>
            </w:pPr>
            <w:r w:rsidRPr="001A1781">
              <w:rPr>
                <w:sz w:val="23"/>
                <w:szCs w:val="23"/>
              </w:rPr>
              <w:t>Chi theo thực tế nhưng không quá 120.000 đồng/lớp/học kỳ</w:t>
            </w:r>
          </w:p>
        </w:tc>
        <w:tc>
          <w:tcPr>
            <w:tcW w:w="3002" w:type="dxa"/>
            <w:hideMark/>
          </w:tcPr>
          <w:p w14:paraId="3ED75B79" w14:textId="08C11C52" w:rsidR="00775553" w:rsidRPr="00A467EF" w:rsidRDefault="00067D85" w:rsidP="00775553">
            <w:pPr>
              <w:jc w:val="both"/>
              <w:rPr>
                <w:rFonts w:cs="Times New Roman"/>
                <w:bCs/>
                <w:i/>
                <w:sz w:val="21"/>
                <w:szCs w:val="23"/>
              </w:rPr>
            </w:pPr>
            <w:r w:rsidRPr="008F31B9">
              <w:rPr>
                <w:sz w:val="23"/>
                <w:szCs w:val="23"/>
              </w:rPr>
              <w:t xml:space="preserve">Kế thừa </w:t>
            </w:r>
            <w:r w:rsidRPr="008F31B9">
              <w:rPr>
                <w:rFonts w:cs="Times New Roman"/>
                <w:bCs/>
                <w:sz w:val="23"/>
                <w:szCs w:val="23"/>
              </w:rPr>
              <w:t>Nghị quyết số 21/2022/NQ-HĐND ngày 12/9/2022 của HĐND tỉnh Quảng Ngãi</w:t>
            </w:r>
            <w:r>
              <w:rPr>
                <w:i/>
                <w:sz w:val="24"/>
                <w:szCs w:val="26"/>
              </w:rPr>
              <w:t xml:space="preserve">: </w:t>
            </w:r>
            <w:r w:rsidR="00775553" w:rsidRPr="00A467EF">
              <w:rPr>
                <w:i/>
                <w:sz w:val="24"/>
                <w:szCs w:val="26"/>
              </w:rPr>
              <w:t>Chi hỗ trợ mua hồ sơ, sổ sách (gồm: Sổ ghi đầu bài, Sổ theo dõi và đánh giá học viên, Sổ chủ nhiệm, Văn phòng phẩm).</w:t>
            </w:r>
          </w:p>
          <w:p w14:paraId="66DD0DB7" w14:textId="77777777" w:rsidR="00775553" w:rsidRPr="001A1781" w:rsidRDefault="00775553" w:rsidP="00775553">
            <w:pPr>
              <w:jc w:val="both"/>
              <w:rPr>
                <w:sz w:val="23"/>
                <w:szCs w:val="23"/>
              </w:rPr>
            </w:pPr>
            <w:r w:rsidRPr="00A467EF">
              <w:rPr>
                <w:i/>
                <w:sz w:val="24"/>
                <w:szCs w:val="26"/>
              </w:rPr>
              <w:t>Dự kiến mỗi lớp gồ</w:t>
            </w:r>
            <w:r w:rsidR="009D30C2">
              <w:rPr>
                <w:i/>
                <w:sz w:val="24"/>
                <w:szCs w:val="26"/>
              </w:rPr>
              <w:t>m 03</w:t>
            </w:r>
            <w:r w:rsidRPr="00A467EF">
              <w:rPr>
                <w:i/>
                <w:sz w:val="24"/>
                <w:szCs w:val="26"/>
              </w:rPr>
              <w:t xml:space="preserve"> cuốn sổ, giá mỗi cuốn sổ khoả</w:t>
            </w:r>
            <w:r w:rsidR="009D30C2">
              <w:rPr>
                <w:i/>
                <w:sz w:val="24"/>
                <w:szCs w:val="26"/>
              </w:rPr>
              <w:t>ng 30</w:t>
            </w:r>
            <w:r w:rsidRPr="00A467EF">
              <w:rPr>
                <w:i/>
                <w:sz w:val="24"/>
                <w:szCs w:val="26"/>
              </w:rPr>
              <w:t>.000đ, Văn phòng phẩm khoả</w:t>
            </w:r>
            <w:r w:rsidR="009D30C2">
              <w:rPr>
                <w:i/>
                <w:sz w:val="24"/>
                <w:szCs w:val="26"/>
              </w:rPr>
              <w:t>ng 3</w:t>
            </w:r>
            <w:r w:rsidRPr="00A467EF">
              <w:rPr>
                <w:i/>
                <w:sz w:val="24"/>
                <w:szCs w:val="26"/>
              </w:rPr>
              <w:t>0.000 đ</w:t>
            </w:r>
          </w:p>
        </w:tc>
      </w:tr>
      <w:tr w:rsidR="00775553" w:rsidRPr="001A1781" w14:paraId="401CBB22" w14:textId="77777777" w:rsidTr="005B0632">
        <w:trPr>
          <w:trHeight w:val="1530"/>
        </w:trPr>
        <w:tc>
          <w:tcPr>
            <w:tcW w:w="420" w:type="dxa"/>
            <w:vMerge/>
            <w:hideMark/>
          </w:tcPr>
          <w:p w14:paraId="2148C4C9" w14:textId="77777777" w:rsidR="00775553" w:rsidRPr="001A1781" w:rsidRDefault="00775553" w:rsidP="00775553">
            <w:pPr>
              <w:rPr>
                <w:b/>
                <w:bCs/>
                <w:sz w:val="23"/>
                <w:szCs w:val="23"/>
              </w:rPr>
            </w:pPr>
          </w:p>
        </w:tc>
        <w:tc>
          <w:tcPr>
            <w:tcW w:w="2963" w:type="dxa"/>
            <w:hideMark/>
          </w:tcPr>
          <w:p w14:paraId="7FB2097D" w14:textId="77777777" w:rsidR="00775553" w:rsidRPr="001A1781" w:rsidRDefault="00775553" w:rsidP="00775553">
            <w:pPr>
              <w:jc w:val="both"/>
              <w:rPr>
                <w:sz w:val="23"/>
                <w:szCs w:val="23"/>
              </w:rPr>
            </w:pPr>
            <w:r w:rsidRPr="001A1781">
              <w:rPr>
                <w:sz w:val="23"/>
                <w:szCs w:val="23"/>
              </w:rPr>
              <w:t xml:space="preserve">.-Chi mua sách giáo khoa dùng chung đối với các lớp học xóa mù chữ, phổ cập giáo dục ban đêm </w:t>
            </w:r>
          </w:p>
        </w:tc>
        <w:tc>
          <w:tcPr>
            <w:tcW w:w="2688" w:type="dxa"/>
            <w:hideMark/>
          </w:tcPr>
          <w:p w14:paraId="6C2302A2" w14:textId="77777777" w:rsidR="00775553" w:rsidRPr="001A1781" w:rsidRDefault="00775553" w:rsidP="00775553">
            <w:pPr>
              <w:jc w:val="both"/>
              <w:rPr>
                <w:sz w:val="23"/>
                <w:szCs w:val="23"/>
              </w:rPr>
            </w:pPr>
            <w:r w:rsidRPr="001A1781">
              <w:rPr>
                <w:sz w:val="23"/>
                <w:szCs w:val="23"/>
              </w:rPr>
              <w:t>Chi theo thực tế, đảm bảo mỗi học viên được mượn 01 bộ sách tương ứng với từng lớp học mà học viên đó đang theo học. Đơn vị được giao tổ chức lớp học có trách nhiệm tổ chức tốt việc cho mượn và bảo quản SGK để sử dụng lâu dài, có hiệu quả</w:t>
            </w:r>
          </w:p>
        </w:tc>
        <w:tc>
          <w:tcPr>
            <w:tcW w:w="3685" w:type="dxa"/>
            <w:noWrap/>
            <w:hideMark/>
          </w:tcPr>
          <w:p w14:paraId="1628F55E" w14:textId="77777777" w:rsidR="00775553" w:rsidRPr="001A1781" w:rsidRDefault="00775553" w:rsidP="00775553">
            <w:pPr>
              <w:jc w:val="both"/>
              <w:rPr>
                <w:sz w:val="23"/>
                <w:szCs w:val="23"/>
              </w:rPr>
            </w:pPr>
            <w:r w:rsidRPr="001A1781">
              <w:rPr>
                <w:sz w:val="23"/>
                <w:szCs w:val="23"/>
              </w:rPr>
              <w:t xml:space="preserve">Chi theo hóa đơn thực tế, không quá 01 bộ sgk/người/chương trình. </w:t>
            </w:r>
          </w:p>
        </w:tc>
        <w:tc>
          <w:tcPr>
            <w:tcW w:w="2688" w:type="dxa"/>
            <w:hideMark/>
          </w:tcPr>
          <w:p w14:paraId="3C59DC02" w14:textId="77777777" w:rsidR="00775553" w:rsidRPr="001A1781" w:rsidRDefault="00775553" w:rsidP="00775553">
            <w:pPr>
              <w:jc w:val="both"/>
              <w:rPr>
                <w:sz w:val="23"/>
                <w:szCs w:val="23"/>
              </w:rPr>
            </w:pPr>
            <w:r w:rsidRPr="001A1781">
              <w:rPr>
                <w:sz w:val="23"/>
                <w:szCs w:val="23"/>
              </w:rPr>
              <w:t>Chi theo thực tế, đảm bảo mỗi học viên được mượn 01 bộ sách tương ứng với từng lớp học mà học viên đó đang theo học. Đơn vị được giao tổ chức lớp học có trách nhiệm tổ chức tốt việc cho mượn và bảo quản SGK để sử dụng lâu dài, có hiệu quả</w:t>
            </w:r>
          </w:p>
        </w:tc>
        <w:tc>
          <w:tcPr>
            <w:tcW w:w="3002" w:type="dxa"/>
            <w:hideMark/>
          </w:tcPr>
          <w:p w14:paraId="5E5A0FCB" w14:textId="77777777" w:rsidR="00775553" w:rsidRPr="001A1781" w:rsidRDefault="00775553" w:rsidP="00775553">
            <w:pPr>
              <w:jc w:val="both"/>
              <w:rPr>
                <w:sz w:val="23"/>
                <w:szCs w:val="23"/>
              </w:rPr>
            </w:pPr>
            <w:r w:rsidRPr="008F31B9">
              <w:rPr>
                <w:sz w:val="23"/>
                <w:szCs w:val="23"/>
              </w:rPr>
              <w:t xml:space="preserve">Kế thừa </w:t>
            </w:r>
            <w:r w:rsidRPr="008F31B9">
              <w:rPr>
                <w:rFonts w:cs="Times New Roman"/>
                <w:bCs/>
                <w:sz w:val="23"/>
                <w:szCs w:val="23"/>
              </w:rPr>
              <w:t>Nghị quyết số 21/2022/NQ-HĐND ngày 12/9/2022 của HĐND tỉnh Quảng Ngãi</w:t>
            </w:r>
          </w:p>
        </w:tc>
      </w:tr>
      <w:tr w:rsidR="00775553" w:rsidRPr="001A1781" w14:paraId="4256932C" w14:textId="77777777" w:rsidTr="005B0632">
        <w:trPr>
          <w:trHeight w:val="765"/>
        </w:trPr>
        <w:tc>
          <w:tcPr>
            <w:tcW w:w="420" w:type="dxa"/>
            <w:vMerge/>
            <w:hideMark/>
          </w:tcPr>
          <w:p w14:paraId="2943DFC5" w14:textId="77777777" w:rsidR="00775553" w:rsidRPr="001A1781" w:rsidRDefault="00775553" w:rsidP="00775553">
            <w:pPr>
              <w:rPr>
                <w:b/>
                <w:bCs/>
                <w:sz w:val="23"/>
                <w:szCs w:val="23"/>
              </w:rPr>
            </w:pPr>
          </w:p>
        </w:tc>
        <w:tc>
          <w:tcPr>
            <w:tcW w:w="2963" w:type="dxa"/>
            <w:hideMark/>
          </w:tcPr>
          <w:p w14:paraId="2BEC48EE" w14:textId="77777777" w:rsidR="00775553" w:rsidRPr="001A1781" w:rsidRDefault="00775553" w:rsidP="00775553">
            <w:pPr>
              <w:jc w:val="both"/>
              <w:rPr>
                <w:sz w:val="23"/>
                <w:szCs w:val="23"/>
              </w:rPr>
            </w:pPr>
            <w:r w:rsidRPr="001A1781">
              <w:rPr>
                <w:sz w:val="23"/>
                <w:szCs w:val="23"/>
              </w:rPr>
              <w:t>.-Chi hỗ trợ cho người tham gia tuyên truyền, huy động người mù chữ, tái mù chữ đến lớp xóa mù chữ:</w:t>
            </w:r>
          </w:p>
        </w:tc>
        <w:tc>
          <w:tcPr>
            <w:tcW w:w="2688" w:type="dxa"/>
            <w:noWrap/>
            <w:hideMark/>
          </w:tcPr>
          <w:p w14:paraId="22B6AD6D" w14:textId="77777777" w:rsidR="00775553" w:rsidRPr="001A1781" w:rsidRDefault="00775553" w:rsidP="00775553">
            <w:pPr>
              <w:jc w:val="both"/>
              <w:rPr>
                <w:sz w:val="23"/>
                <w:szCs w:val="23"/>
              </w:rPr>
            </w:pPr>
            <w:r w:rsidRPr="001A1781">
              <w:rPr>
                <w:sz w:val="23"/>
                <w:szCs w:val="23"/>
              </w:rPr>
              <w:t>220.000 đồng/01 học viên đến lớp và hoàn thành lớp học.</w:t>
            </w:r>
          </w:p>
        </w:tc>
        <w:tc>
          <w:tcPr>
            <w:tcW w:w="3685" w:type="dxa"/>
            <w:noWrap/>
            <w:hideMark/>
          </w:tcPr>
          <w:p w14:paraId="5527F5B4" w14:textId="77777777" w:rsidR="00775553" w:rsidRPr="001A1781" w:rsidRDefault="00775553" w:rsidP="00775553">
            <w:pPr>
              <w:jc w:val="both"/>
              <w:rPr>
                <w:sz w:val="23"/>
                <w:szCs w:val="23"/>
              </w:rPr>
            </w:pPr>
            <w:r w:rsidRPr="001A1781">
              <w:rPr>
                <w:sz w:val="23"/>
                <w:szCs w:val="23"/>
              </w:rPr>
              <w:t>80.000 đồng/học viên/chương trình</w:t>
            </w:r>
          </w:p>
        </w:tc>
        <w:tc>
          <w:tcPr>
            <w:tcW w:w="2688" w:type="dxa"/>
            <w:noWrap/>
            <w:hideMark/>
          </w:tcPr>
          <w:p w14:paraId="7909E2B0" w14:textId="77777777" w:rsidR="00775553" w:rsidRPr="001A1781" w:rsidRDefault="00775553" w:rsidP="00775553">
            <w:pPr>
              <w:jc w:val="both"/>
              <w:rPr>
                <w:sz w:val="23"/>
                <w:szCs w:val="23"/>
              </w:rPr>
            </w:pPr>
            <w:r w:rsidRPr="001A1781">
              <w:rPr>
                <w:sz w:val="23"/>
                <w:szCs w:val="23"/>
              </w:rPr>
              <w:t xml:space="preserve">220.000 đồng/01 học viên đến lớp và </w:t>
            </w:r>
            <w:r w:rsidRPr="001A1781">
              <w:rPr>
                <w:b/>
                <w:bCs/>
                <w:sz w:val="23"/>
                <w:szCs w:val="23"/>
              </w:rPr>
              <w:t>hoàn thành lớp học.</w:t>
            </w:r>
          </w:p>
        </w:tc>
        <w:tc>
          <w:tcPr>
            <w:tcW w:w="3002" w:type="dxa"/>
            <w:hideMark/>
          </w:tcPr>
          <w:p w14:paraId="0B4A7426" w14:textId="77777777" w:rsidR="00775553" w:rsidRPr="001A1781" w:rsidRDefault="00775553" w:rsidP="00775553">
            <w:pPr>
              <w:jc w:val="both"/>
              <w:rPr>
                <w:sz w:val="23"/>
                <w:szCs w:val="23"/>
              </w:rPr>
            </w:pPr>
            <w:r w:rsidRPr="008F31B9">
              <w:rPr>
                <w:sz w:val="23"/>
                <w:szCs w:val="23"/>
              </w:rPr>
              <w:t xml:space="preserve">Kế thừa </w:t>
            </w:r>
            <w:r w:rsidRPr="008F31B9">
              <w:rPr>
                <w:rFonts w:cs="Times New Roman"/>
                <w:bCs/>
                <w:sz w:val="23"/>
                <w:szCs w:val="23"/>
              </w:rPr>
              <w:t>Nghị quyết số 21/2022/NQ-HĐND ngày 12/9/2022 của HĐND tỉnh Quảng Ngãi</w:t>
            </w:r>
          </w:p>
        </w:tc>
      </w:tr>
      <w:tr w:rsidR="00775553" w:rsidRPr="001A1781" w14:paraId="76CF84C5" w14:textId="77777777" w:rsidTr="005B0632">
        <w:trPr>
          <w:trHeight w:val="268"/>
        </w:trPr>
        <w:tc>
          <w:tcPr>
            <w:tcW w:w="420" w:type="dxa"/>
            <w:vMerge/>
          </w:tcPr>
          <w:p w14:paraId="0E58CFC3" w14:textId="77777777" w:rsidR="00775553" w:rsidRPr="001A1781" w:rsidRDefault="00775553" w:rsidP="00775553">
            <w:pPr>
              <w:rPr>
                <w:b/>
                <w:bCs/>
                <w:sz w:val="23"/>
                <w:szCs w:val="23"/>
              </w:rPr>
            </w:pPr>
          </w:p>
        </w:tc>
        <w:tc>
          <w:tcPr>
            <w:tcW w:w="15026" w:type="dxa"/>
            <w:gridSpan w:val="5"/>
          </w:tcPr>
          <w:p w14:paraId="002717FA" w14:textId="77777777" w:rsidR="00775553" w:rsidRPr="008F31B9" w:rsidRDefault="00775553" w:rsidP="00775553">
            <w:pPr>
              <w:jc w:val="both"/>
              <w:rPr>
                <w:sz w:val="23"/>
                <w:szCs w:val="23"/>
              </w:rPr>
            </w:pPr>
            <w:r w:rsidRPr="007831DE">
              <w:rPr>
                <w:sz w:val="23"/>
                <w:szCs w:val="23"/>
              </w:rPr>
              <w:t>d) Chi tiền lương đối với giáo viên thuộc biên chế dạy lớp xóa mù, chống tái mù chữ thuộc nhiệm vụ chuyên môn của cơ sở giáo dục đào tạo công lập</w:t>
            </w:r>
          </w:p>
        </w:tc>
      </w:tr>
      <w:tr w:rsidR="00775553" w:rsidRPr="001A1781" w14:paraId="7CC35E1F" w14:textId="77777777" w:rsidTr="005B0632">
        <w:trPr>
          <w:trHeight w:val="1020"/>
        </w:trPr>
        <w:tc>
          <w:tcPr>
            <w:tcW w:w="420" w:type="dxa"/>
            <w:vMerge/>
            <w:hideMark/>
          </w:tcPr>
          <w:p w14:paraId="12256731" w14:textId="77777777" w:rsidR="00775553" w:rsidRPr="001A1781" w:rsidRDefault="00775553" w:rsidP="00775553">
            <w:pPr>
              <w:rPr>
                <w:b/>
                <w:bCs/>
                <w:sz w:val="23"/>
                <w:szCs w:val="23"/>
              </w:rPr>
            </w:pPr>
          </w:p>
        </w:tc>
        <w:tc>
          <w:tcPr>
            <w:tcW w:w="2963" w:type="dxa"/>
            <w:hideMark/>
          </w:tcPr>
          <w:p w14:paraId="3FF47AC6" w14:textId="77777777" w:rsidR="00775553" w:rsidRPr="001A1781" w:rsidRDefault="00775553" w:rsidP="00775553">
            <w:pPr>
              <w:jc w:val="both"/>
              <w:rPr>
                <w:sz w:val="23"/>
                <w:szCs w:val="23"/>
              </w:rPr>
            </w:pPr>
            <w:r w:rsidRPr="001A1781">
              <w:rPr>
                <w:sz w:val="23"/>
                <w:szCs w:val="23"/>
              </w:rPr>
              <w:t>.-Chi tiền lương đối với giáo viên thuộc biên chế dạy lớp xóa mù chữ, chống tái mù chữ thuộc nhiệm vụ chuyên môn của cơ sở giáo dục đào tạo công lập</w:t>
            </w:r>
          </w:p>
        </w:tc>
        <w:tc>
          <w:tcPr>
            <w:tcW w:w="2688" w:type="dxa"/>
            <w:hideMark/>
          </w:tcPr>
          <w:p w14:paraId="2116CBB5" w14:textId="77777777" w:rsidR="00775553" w:rsidRPr="001A1781" w:rsidRDefault="00775553" w:rsidP="00775553">
            <w:pPr>
              <w:jc w:val="both"/>
              <w:rPr>
                <w:sz w:val="23"/>
                <w:szCs w:val="23"/>
              </w:rPr>
            </w:pPr>
            <w:r w:rsidRPr="001A1781">
              <w:rPr>
                <w:sz w:val="23"/>
                <w:szCs w:val="23"/>
              </w:rPr>
              <w:t>Thực hiện theo Nghị định 204/2024/NĐ-CP ngày 14/12/2004 của Chính phủ về Chế độ tiền lương đối với CB, CC, VC và lực lượng vũ trang</w:t>
            </w:r>
          </w:p>
        </w:tc>
        <w:tc>
          <w:tcPr>
            <w:tcW w:w="3685" w:type="dxa"/>
            <w:hideMark/>
          </w:tcPr>
          <w:p w14:paraId="0291A710" w14:textId="77777777" w:rsidR="00775553" w:rsidRPr="001A1781" w:rsidRDefault="00775553" w:rsidP="00805F61">
            <w:pPr>
              <w:jc w:val="center"/>
              <w:rPr>
                <w:sz w:val="23"/>
                <w:szCs w:val="23"/>
              </w:rPr>
            </w:pPr>
            <w:r w:rsidRPr="001A1781">
              <w:rPr>
                <w:sz w:val="23"/>
                <w:szCs w:val="23"/>
              </w:rPr>
              <w:t>Không</w:t>
            </w:r>
          </w:p>
        </w:tc>
        <w:tc>
          <w:tcPr>
            <w:tcW w:w="2688" w:type="dxa"/>
            <w:hideMark/>
          </w:tcPr>
          <w:p w14:paraId="28C2CF28" w14:textId="77777777" w:rsidR="00775553" w:rsidRPr="001A1781" w:rsidRDefault="00775553" w:rsidP="00775553">
            <w:pPr>
              <w:jc w:val="both"/>
              <w:rPr>
                <w:sz w:val="23"/>
                <w:szCs w:val="23"/>
              </w:rPr>
            </w:pPr>
            <w:r w:rsidRPr="001A1781">
              <w:rPr>
                <w:sz w:val="23"/>
                <w:szCs w:val="23"/>
              </w:rPr>
              <w:t>Thực hiện theo Nghị định 204/2024/NĐ-CP ngày 14/12/2004 của Chính phủ về Chế độ tiền lương đối với CB, CC, VC và lực lượng vũ trang</w:t>
            </w:r>
          </w:p>
        </w:tc>
        <w:tc>
          <w:tcPr>
            <w:tcW w:w="3002" w:type="dxa"/>
            <w:hideMark/>
          </w:tcPr>
          <w:p w14:paraId="5491E9CE" w14:textId="77777777" w:rsidR="00775553" w:rsidRPr="001A1781" w:rsidRDefault="00775553" w:rsidP="00775553">
            <w:pPr>
              <w:jc w:val="both"/>
              <w:rPr>
                <w:sz w:val="23"/>
                <w:szCs w:val="23"/>
              </w:rPr>
            </w:pPr>
            <w:r w:rsidRPr="001A1781">
              <w:rPr>
                <w:sz w:val="23"/>
                <w:szCs w:val="23"/>
              </w:rPr>
              <w:t> </w:t>
            </w:r>
            <w:r w:rsidRPr="008F31B9">
              <w:rPr>
                <w:sz w:val="23"/>
                <w:szCs w:val="23"/>
              </w:rPr>
              <w:t xml:space="preserve">Kế thừa </w:t>
            </w:r>
            <w:r w:rsidRPr="008F31B9">
              <w:rPr>
                <w:rFonts w:cs="Times New Roman"/>
                <w:bCs/>
                <w:sz w:val="23"/>
                <w:szCs w:val="23"/>
              </w:rPr>
              <w:t>Nghị quyết số 21/2022/NQ-HĐND ngày 12/9/2022 của HĐND tỉnh Quảng Ngãi</w:t>
            </w:r>
          </w:p>
        </w:tc>
      </w:tr>
      <w:tr w:rsidR="00775553" w:rsidRPr="001A1781" w14:paraId="345E3B82" w14:textId="77777777" w:rsidTr="005B0632">
        <w:trPr>
          <w:trHeight w:val="698"/>
        </w:trPr>
        <w:tc>
          <w:tcPr>
            <w:tcW w:w="420" w:type="dxa"/>
            <w:vMerge/>
            <w:hideMark/>
          </w:tcPr>
          <w:p w14:paraId="6DFEC6BE" w14:textId="77777777" w:rsidR="00775553" w:rsidRPr="001A1781" w:rsidRDefault="00775553" w:rsidP="00775553">
            <w:pPr>
              <w:rPr>
                <w:b/>
                <w:bCs/>
                <w:sz w:val="23"/>
                <w:szCs w:val="23"/>
              </w:rPr>
            </w:pPr>
          </w:p>
        </w:tc>
        <w:tc>
          <w:tcPr>
            <w:tcW w:w="2963" w:type="dxa"/>
            <w:hideMark/>
          </w:tcPr>
          <w:p w14:paraId="621B4E0C" w14:textId="7F1B1849" w:rsidR="00775553" w:rsidRPr="001A1781" w:rsidRDefault="00775553" w:rsidP="00775553">
            <w:pPr>
              <w:jc w:val="both"/>
              <w:rPr>
                <w:sz w:val="23"/>
                <w:szCs w:val="23"/>
              </w:rPr>
            </w:pPr>
            <w:r w:rsidRPr="001A1781">
              <w:rPr>
                <w:sz w:val="23"/>
                <w:szCs w:val="23"/>
              </w:rPr>
              <w:t>-Trường hợp số giờ dạy vượt định mức giờ chuẩn</w:t>
            </w:r>
          </w:p>
        </w:tc>
        <w:tc>
          <w:tcPr>
            <w:tcW w:w="2688" w:type="dxa"/>
            <w:hideMark/>
          </w:tcPr>
          <w:p w14:paraId="4C8E1945" w14:textId="77777777" w:rsidR="00775553" w:rsidRPr="001A1781" w:rsidRDefault="00775553" w:rsidP="00775553">
            <w:pPr>
              <w:jc w:val="both"/>
              <w:rPr>
                <w:sz w:val="23"/>
                <w:szCs w:val="23"/>
              </w:rPr>
            </w:pPr>
            <w:r w:rsidRPr="001A1781">
              <w:rPr>
                <w:sz w:val="23"/>
                <w:szCs w:val="23"/>
              </w:rPr>
              <w:t>Thực hiện theo T</w:t>
            </w:r>
            <w:r>
              <w:rPr>
                <w:sz w:val="23"/>
                <w:szCs w:val="23"/>
              </w:rPr>
              <w:t xml:space="preserve">TLT           </w:t>
            </w:r>
            <w:r w:rsidRPr="001A1781">
              <w:rPr>
                <w:sz w:val="23"/>
                <w:szCs w:val="23"/>
              </w:rPr>
              <w:t>số 07/2013/TTLT-BGDĐT-BNV-BTC ngày 08/3/2013 của Bộ trưởng Bộ GDĐT, Bộ trưởng Bộ Nội vụ, Bộ trưởng Bộ TC về Hướng dẫn thực hiện chế độ trả lương dạy thêm giờ đối với nhà giáo trong các cơ sở giáo dục công lập</w:t>
            </w:r>
          </w:p>
        </w:tc>
        <w:tc>
          <w:tcPr>
            <w:tcW w:w="3685" w:type="dxa"/>
            <w:hideMark/>
          </w:tcPr>
          <w:p w14:paraId="026C5006" w14:textId="77777777" w:rsidR="00775553" w:rsidRPr="001A1781" w:rsidRDefault="00775553" w:rsidP="00805F61">
            <w:pPr>
              <w:jc w:val="center"/>
              <w:rPr>
                <w:sz w:val="23"/>
                <w:szCs w:val="23"/>
              </w:rPr>
            </w:pPr>
            <w:r w:rsidRPr="001A1781">
              <w:rPr>
                <w:sz w:val="23"/>
                <w:szCs w:val="23"/>
              </w:rPr>
              <w:t>Không</w:t>
            </w:r>
          </w:p>
        </w:tc>
        <w:tc>
          <w:tcPr>
            <w:tcW w:w="2688" w:type="dxa"/>
            <w:hideMark/>
          </w:tcPr>
          <w:p w14:paraId="1046B57F" w14:textId="77777777" w:rsidR="00775553" w:rsidRPr="001A1781" w:rsidRDefault="00775553" w:rsidP="00775553">
            <w:pPr>
              <w:jc w:val="both"/>
              <w:rPr>
                <w:sz w:val="23"/>
                <w:szCs w:val="23"/>
              </w:rPr>
            </w:pPr>
            <w:r w:rsidRPr="001A1781">
              <w:rPr>
                <w:sz w:val="23"/>
                <w:szCs w:val="23"/>
              </w:rPr>
              <w:t>Thực hiện theo Thông tư số 21/2025/TT-BGDĐT ngày 23/9/2025 của Bộ GDĐT Quy định chế độ trả tiền lương dạy thêm giờ đối với nhà giáo trong các cơ sở giáo dục công lập thuộc hệ thống giáo dục quốc dân.</w:t>
            </w:r>
          </w:p>
        </w:tc>
        <w:tc>
          <w:tcPr>
            <w:tcW w:w="3002" w:type="dxa"/>
            <w:hideMark/>
          </w:tcPr>
          <w:p w14:paraId="03AD8F47" w14:textId="0DF4B046" w:rsidR="00775553" w:rsidRPr="001A1781" w:rsidRDefault="00775553" w:rsidP="00775553">
            <w:pPr>
              <w:jc w:val="both"/>
              <w:rPr>
                <w:sz w:val="23"/>
                <w:szCs w:val="23"/>
              </w:rPr>
            </w:pPr>
            <w:r w:rsidRPr="001A1781">
              <w:rPr>
                <w:sz w:val="23"/>
                <w:szCs w:val="23"/>
              </w:rPr>
              <w:t> </w:t>
            </w:r>
            <w:r>
              <w:rPr>
                <w:sz w:val="23"/>
                <w:szCs w:val="23"/>
              </w:rPr>
              <w:t xml:space="preserve">Thực hiện theo </w:t>
            </w:r>
            <w:r w:rsidR="009D30C2" w:rsidRPr="001A1781">
              <w:rPr>
                <w:sz w:val="23"/>
                <w:szCs w:val="23"/>
              </w:rPr>
              <w:t>Quy định chế độ trả tiền lương dạy thêm giờ đối với nhà giáo trong các cơ sở giáo dục công lập</w:t>
            </w:r>
            <w:r>
              <w:rPr>
                <w:sz w:val="23"/>
                <w:szCs w:val="23"/>
              </w:rPr>
              <w:t xml:space="preserve"> tại </w:t>
            </w:r>
            <w:r w:rsidRPr="001A1781">
              <w:rPr>
                <w:sz w:val="23"/>
                <w:szCs w:val="23"/>
              </w:rPr>
              <w:t>Thông tư số 21/2025/TT-BGDĐT ngày 23/9/2025 của Bộ GDĐT</w:t>
            </w:r>
            <w:r>
              <w:rPr>
                <w:sz w:val="23"/>
                <w:szCs w:val="23"/>
              </w:rPr>
              <w:t xml:space="preserve"> </w:t>
            </w:r>
            <w:r w:rsidRPr="00A467EF">
              <w:rPr>
                <w:i/>
                <w:sz w:val="23"/>
                <w:szCs w:val="23"/>
              </w:rPr>
              <w:t>(có hiệu lực từ 23/9/2025)</w:t>
            </w:r>
          </w:p>
        </w:tc>
      </w:tr>
      <w:tr w:rsidR="00775553" w:rsidRPr="001A1781" w14:paraId="1C9A3850" w14:textId="77777777" w:rsidTr="005B0632">
        <w:trPr>
          <w:trHeight w:val="1785"/>
        </w:trPr>
        <w:tc>
          <w:tcPr>
            <w:tcW w:w="420" w:type="dxa"/>
            <w:vMerge/>
            <w:hideMark/>
          </w:tcPr>
          <w:p w14:paraId="1E1DC438" w14:textId="77777777" w:rsidR="00775553" w:rsidRPr="001A1781" w:rsidRDefault="00775553" w:rsidP="00775553">
            <w:pPr>
              <w:rPr>
                <w:b/>
                <w:bCs/>
                <w:sz w:val="23"/>
                <w:szCs w:val="23"/>
              </w:rPr>
            </w:pPr>
          </w:p>
        </w:tc>
        <w:tc>
          <w:tcPr>
            <w:tcW w:w="2963" w:type="dxa"/>
            <w:hideMark/>
          </w:tcPr>
          <w:p w14:paraId="76FD5196" w14:textId="77777777" w:rsidR="00775553" w:rsidRPr="001A1781" w:rsidRDefault="00775553" w:rsidP="00775553">
            <w:pPr>
              <w:jc w:val="both"/>
              <w:rPr>
                <w:sz w:val="23"/>
                <w:szCs w:val="23"/>
              </w:rPr>
            </w:pPr>
            <w:r w:rsidRPr="001A1781">
              <w:rPr>
                <w:sz w:val="23"/>
                <w:szCs w:val="23"/>
              </w:rPr>
              <w:t>đ) Chi tiền công theo hợp đồng lao động giảng dạy các lớp xóa mù chữ</w:t>
            </w:r>
          </w:p>
        </w:tc>
        <w:tc>
          <w:tcPr>
            <w:tcW w:w="2688" w:type="dxa"/>
            <w:hideMark/>
          </w:tcPr>
          <w:p w14:paraId="6F2FDF00" w14:textId="77777777" w:rsidR="00775553" w:rsidRPr="001A1781" w:rsidRDefault="00775553" w:rsidP="00775553">
            <w:pPr>
              <w:jc w:val="both"/>
              <w:rPr>
                <w:sz w:val="23"/>
                <w:szCs w:val="23"/>
              </w:rPr>
            </w:pPr>
            <w:r w:rsidRPr="001A1781">
              <w:rPr>
                <w:sz w:val="23"/>
                <w:szCs w:val="23"/>
              </w:rPr>
              <w:t>Mức chi trên cơ sở lương tối thiểu vùng và đảm bảo tương quan với mức lương GV trong biên chế có cùng trình độ đào tạo, thâm niên công tác dạy cùng cấp học, lớp học theo quy định hiện hành của Nhà nước về chế độ tiền lương đối với cán bộ, công chức, viên chức và lực lượng vũ trang</w:t>
            </w:r>
          </w:p>
        </w:tc>
        <w:tc>
          <w:tcPr>
            <w:tcW w:w="3685" w:type="dxa"/>
            <w:hideMark/>
          </w:tcPr>
          <w:p w14:paraId="1A8AF86A" w14:textId="77777777" w:rsidR="00775553" w:rsidRPr="001A1781" w:rsidRDefault="00775553" w:rsidP="00805F61">
            <w:pPr>
              <w:jc w:val="center"/>
              <w:rPr>
                <w:sz w:val="23"/>
                <w:szCs w:val="23"/>
              </w:rPr>
            </w:pPr>
            <w:r w:rsidRPr="001A1781">
              <w:rPr>
                <w:sz w:val="23"/>
                <w:szCs w:val="23"/>
              </w:rPr>
              <w:t>Không</w:t>
            </w:r>
          </w:p>
        </w:tc>
        <w:tc>
          <w:tcPr>
            <w:tcW w:w="2688" w:type="dxa"/>
            <w:hideMark/>
          </w:tcPr>
          <w:p w14:paraId="6068C642" w14:textId="77777777" w:rsidR="00775553" w:rsidRPr="001A1781" w:rsidRDefault="00775553" w:rsidP="00775553">
            <w:pPr>
              <w:jc w:val="both"/>
              <w:rPr>
                <w:sz w:val="23"/>
                <w:szCs w:val="23"/>
              </w:rPr>
            </w:pPr>
            <w:r w:rsidRPr="001A1781">
              <w:rPr>
                <w:sz w:val="23"/>
                <w:szCs w:val="23"/>
              </w:rPr>
              <w:t>Mức chi trên cơ sở lương tối thiểu vùng và đảm bảo tương quan với mức lương GV trong biên chế có cùng trình độ đào tạo, thâm niên công tác dạy cùng cấp học, lớp học theo quy định hiện hành của Nhà nước về chế độ tiền lương đối với cán bộ, công chức, viên chức và lực lượng vũ trang</w:t>
            </w:r>
          </w:p>
        </w:tc>
        <w:tc>
          <w:tcPr>
            <w:tcW w:w="3002" w:type="dxa"/>
            <w:hideMark/>
          </w:tcPr>
          <w:p w14:paraId="2E8AC452" w14:textId="77777777" w:rsidR="00775553" w:rsidRPr="001A1781" w:rsidRDefault="00775553" w:rsidP="00775553">
            <w:pPr>
              <w:jc w:val="both"/>
              <w:rPr>
                <w:sz w:val="23"/>
                <w:szCs w:val="23"/>
              </w:rPr>
            </w:pPr>
            <w:r w:rsidRPr="001A1781">
              <w:rPr>
                <w:sz w:val="23"/>
                <w:szCs w:val="23"/>
              </w:rPr>
              <w:t> </w:t>
            </w:r>
            <w:r w:rsidRPr="008F31B9">
              <w:rPr>
                <w:sz w:val="23"/>
                <w:szCs w:val="23"/>
              </w:rPr>
              <w:t xml:space="preserve">Kế thừa </w:t>
            </w:r>
            <w:r w:rsidRPr="008F31B9">
              <w:rPr>
                <w:rFonts w:cs="Times New Roman"/>
                <w:bCs/>
                <w:sz w:val="23"/>
                <w:szCs w:val="23"/>
              </w:rPr>
              <w:t>Nghị quyết số 21/2022/NQ-HĐND ngày 12/9/2022 của HĐND tỉnh Quảng Ngãi</w:t>
            </w:r>
          </w:p>
        </w:tc>
      </w:tr>
      <w:tr w:rsidR="00775553" w:rsidRPr="001A1781" w14:paraId="5355812F" w14:textId="77777777" w:rsidTr="005B0632">
        <w:trPr>
          <w:trHeight w:val="707"/>
        </w:trPr>
        <w:tc>
          <w:tcPr>
            <w:tcW w:w="420" w:type="dxa"/>
            <w:vMerge/>
            <w:hideMark/>
          </w:tcPr>
          <w:p w14:paraId="636F0337" w14:textId="77777777" w:rsidR="00775553" w:rsidRPr="001A1781" w:rsidRDefault="00775553" w:rsidP="00775553">
            <w:pPr>
              <w:rPr>
                <w:b/>
                <w:bCs/>
                <w:sz w:val="23"/>
                <w:szCs w:val="23"/>
              </w:rPr>
            </w:pPr>
          </w:p>
        </w:tc>
        <w:tc>
          <w:tcPr>
            <w:tcW w:w="2963" w:type="dxa"/>
            <w:hideMark/>
          </w:tcPr>
          <w:p w14:paraId="34DB50FD" w14:textId="77777777" w:rsidR="00775553" w:rsidRPr="001A1781" w:rsidRDefault="00775553" w:rsidP="00775553">
            <w:pPr>
              <w:jc w:val="both"/>
              <w:rPr>
                <w:sz w:val="23"/>
                <w:szCs w:val="23"/>
              </w:rPr>
            </w:pPr>
            <w:r w:rsidRPr="001A1781">
              <w:rPr>
                <w:sz w:val="23"/>
                <w:szCs w:val="23"/>
              </w:rPr>
              <w:t xml:space="preserve">.-Hỗ trợ chi phí ăn, ở, đi lại cho tình nguyện viên tham gia giảng dạy các lớp xóa mù chữ: </w:t>
            </w:r>
          </w:p>
        </w:tc>
        <w:tc>
          <w:tcPr>
            <w:tcW w:w="2688" w:type="dxa"/>
            <w:hideMark/>
          </w:tcPr>
          <w:p w14:paraId="5CBEC4FD" w14:textId="77777777" w:rsidR="00775553" w:rsidRPr="001A1781" w:rsidRDefault="00775553" w:rsidP="00775553">
            <w:pPr>
              <w:jc w:val="both"/>
              <w:rPr>
                <w:sz w:val="23"/>
                <w:szCs w:val="23"/>
              </w:rPr>
            </w:pPr>
            <w:r w:rsidRPr="001A1781">
              <w:rPr>
                <w:sz w:val="23"/>
                <w:szCs w:val="23"/>
              </w:rPr>
              <w:t>Áp dụng mức chi tại Nghị quyết số 46/2017/NQ-HĐND ngày 29/9/2017 của Hội đồng nhân dân tỉnh Quảng Ngãi quy định mức chi công tác phí, chi hội nghị áp dụng đối với các cơ quan, đơn vị của tỉnh Quảng Ngãi.</w:t>
            </w:r>
          </w:p>
        </w:tc>
        <w:tc>
          <w:tcPr>
            <w:tcW w:w="3685" w:type="dxa"/>
            <w:hideMark/>
          </w:tcPr>
          <w:p w14:paraId="1D97F7E7" w14:textId="77777777" w:rsidR="00775553" w:rsidRPr="001A1781" w:rsidRDefault="00775553" w:rsidP="00775553">
            <w:pPr>
              <w:ind w:right="-52"/>
              <w:jc w:val="both"/>
              <w:rPr>
                <w:sz w:val="23"/>
                <w:szCs w:val="23"/>
              </w:rPr>
            </w:pPr>
            <w:r w:rsidRPr="001A1781">
              <w:rPr>
                <w:sz w:val="23"/>
                <w:szCs w:val="23"/>
              </w:rPr>
              <w:t>Theo quy định tại Nghị quyết số 11/2017/NQ-HĐND ngày 21/7/2017 của HĐND Kon Tum quy định chế độ công tác phí, chế độ chi tổ chức hội nghị, chế độ đón tiếp khách nước ngoài, chi tổ chức các hội nghị, hội thảo quốc tế và chi tiếp khách trong nước áp dụng trên địa bàn tỉnh Kon Tum và NQ số 46/2019/NQ-HĐND ngày 09/12/2019 củ</w:t>
            </w:r>
            <w:r>
              <w:rPr>
                <w:sz w:val="23"/>
                <w:szCs w:val="23"/>
              </w:rPr>
              <w:t xml:space="preserve">a HĐND </w:t>
            </w:r>
            <w:r w:rsidRPr="001A1781">
              <w:rPr>
                <w:sz w:val="23"/>
                <w:szCs w:val="23"/>
              </w:rPr>
              <w:t>Kon Tum sửa đổi, bổ sung Điều 1 NQ số 11/2017/NQ-HĐND và được sửa đổi bổ sung một số điều tại NQ số 14/2019/NQ-HĐND ngày 18/7/2019, được sửa đổi, bổ sung Điều 1 tại NQ số 46/2019/NQ-HĐND ngày 09/12/2019.</w:t>
            </w:r>
          </w:p>
        </w:tc>
        <w:tc>
          <w:tcPr>
            <w:tcW w:w="2688" w:type="dxa"/>
            <w:hideMark/>
          </w:tcPr>
          <w:p w14:paraId="6A0E1229" w14:textId="77777777" w:rsidR="00775553" w:rsidRPr="001A1781" w:rsidRDefault="00775553" w:rsidP="00775553">
            <w:pPr>
              <w:jc w:val="both"/>
              <w:rPr>
                <w:sz w:val="23"/>
                <w:szCs w:val="23"/>
              </w:rPr>
            </w:pPr>
            <w:r w:rsidRPr="001A1781">
              <w:rPr>
                <w:sz w:val="23"/>
                <w:szCs w:val="23"/>
              </w:rPr>
              <w:t>Áp dụng mức chi tại Nghị quyết số 15/2025/NQ-HĐND ngày 24/10/2025 của HĐND tỉnh Quảng Ngãi quy định mức chi công tác phí, chi hội nghị áp dụng đối với các cơ quan, đơn vị của tỉnh Quảng Ngãi</w:t>
            </w:r>
          </w:p>
        </w:tc>
        <w:tc>
          <w:tcPr>
            <w:tcW w:w="3002" w:type="dxa"/>
            <w:hideMark/>
          </w:tcPr>
          <w:p w14:paraId="38DBA668" w14:textId="77777777" w:rsidR="000622F7" w:rsidRPr="004C2239" w:rsidRDefault="00775553" w:rsidP="000622F7">
            <w:pPr>
              <w:jc w:val="both"/>
              <w:rPr>
                <w:sz w:val="23"/>
                <w:szCs w:val="23"/>
              </w:rPr>
            </w:pPr>
            <w:r w:rsidRPr="001A1781">
              <w:rPr>
                <w:sz w:val="23"/>
                <w:szCs w:val="23"/>
              </w:rPr>
              <w:t> </w:t>
            </w:r>
            <w:r w:rsidR="000622F7" w:rsidRPr="004C2239">
              <w:rPr>
                <w:rStyle w:val="fontstyle01"/>
                <w:sz w:val="23"/>
                <w:szCs w:val="23"/>
              </w:rPr>
              <w:t>Nghị quyết</w:t>
            </w:r>
            <w:r w:rsidR="000622F7">
              <w:rPr>
                <w:rStyle w:val="fontstyle01"/>
                <w:sz w:val="23"/>
                <w:szCs w:val="23"/>
              </w:rPr>
              <w:t xml:space="preserve"> </w:t>
            </w:r>
            <w:r w:rsidR="000622F7" w:rsidRPr="004C2239">
              <w:rPr>
                <w:rStyle w:val="fontstyle01"/>
                <w:sz w:val="23"/>
                <w:szCs w:val="23"/>
              </w:rPr>
              <w:t>15/2025/NQ-HĐND</w:t>
            </w:r>
            <w:r w:rsidR="000622F7">
              <w:rPr>
                <w:rStyle w:val="fontstyle01"/>
                <w:sz w:val="23"/>
                <w:szCs w:val="23"/>
              </w:rPr>
              <w:t xml:space="preserve"> </w:t>
            </w:r>
            <w:r w:rsidR="000622F7" w:rsidRPr="004C2239">
              <w:rPr>
                <w:rStyle w:val="fontstyle01"/>
                <w:sz w:val="23"/>
                <w:szCs w:val="23"/>
              </w:rPr>
              <w:t>ngày 24/10/2025 của</w:t>
            </w:r>
            <w:r w:rsidR="000622F7" w:rsidRPr="004C2239">
              <w:rPr>
                <w:rFonts w:ascii="TimesNewRomanPSMT" w:hAnsi="TimesNewRomanPSMT"/>
                <w:color w:val="000000"/>
                <w:sz w:val="23"/>
                <w:szCs w:val="23"/>
              </w:rPr>
              <w:br/>
            </w:r>
            <w:r w:rsidR="000622F7" w:rsidRPr="004C2239">
              <w:rPr>
                <w:rStyle w:val="fontstyle01"/>
                <w:sz w:val="23"/>
                <w:szCs w:val="23"/>
              </w:rPr>
              <w:t>HĐND tỉnh đã bãi</w:t>
            </w:r>
            <w:r w:rsidR="000622F7">
              <w:rPr>
                <w:rStyle w:val="fontstyle01"/>
                <w:sz w:val="23"/>
                <w:szCs w:val="23"/>
              </w:rPr>
              <w:t xml:space="preserve"> </w:t>
            </w:r>
            <w:r w:rsidR="000622F7" w:rsidRPr="004C2239">
              <w:rPr>
                <w:rStyle w:val="fontstyle01"/>
                <w:sz w:val="23"/>
                <w:szCs w:val="23"/>
              </w:rPr>
              <w:t xml:space="preserve">bỏ các </w:t>
            </w:r>
            <w:r w:rsidR="000622F7">
              <w:rPr>
                <w:rStyle w:val="fontstyle01"/>
                <w:sz w:val="23"/>
                <w:szCs w:val="23"/>
              </w:rPr>
              <w:t>N</w:t>
            </w:r>
            <w:r w:rsidR="000622F7" w:rsidRPr="004C2239">
              <w:rPr>
                <w:rStyle w:val="fontstyle01"/>
                <w:sz w:val="23"/>
                <w:szCs w:val="23"/>
              </w:rPr>
              <w:t>ghị quyết</w:t>
            </w:r>
            <w:r w:rsidR="000622F7">
              <w:rPr>
                <w:rStyle w:val="fontstyle01"/>
                <w:sz w:val="23"/>
                <w:szCs w:val="23"/>
              </w:rPr>
              <w:t xml:space="preserve"> </w:t>
            </w:r>
            <w:r w:rsidR="000622F7" w:rsidRPr="004C2239">
              <w:rPr>
                <w:rStyle w:val="fontstyle01"/>
                <w:sz w:val="23"/>
                <w:szCs w:val="23"/>
              </w:rPr>
              <w:t>của 02 tỉnh trước</w:t>
            </w:r>
            <w:r w:rsidR="000622F7" w:rsidRPr="004C2239">
              <w:rPr>
                <w:rFonts w:ascii="TimesNewRomanPSMT" w:hAnsi="TimesNewRomanPSMT"/>
                <w:color w:val="000000"/>
                <w:sz w:val="23"/>
                <w:szCs w:val="23"/>
              </w:rPr>
              <w:br/>
            </w:r>
            <w:r w:rsidR="000622F7" w:rsidRPr="004C2239">
              <w:rPr>
                <w:rStyle w:val="fontstyle01"/>
                <w:sz w:val="23"/>
                <w:szCs w:val="23"/>
              </w:rPr>
              <w:t>đây</w:t>
            </w:r>
          </w:p>
          <w:p w14:paraId="5D8BB2C1" w14:textId="77777777" w:rsidR="00775553" w:rsidRPr="001A1781" w:rsidRDefault="00775553" w:rsidP="00775553">
            <w:pPr>
              <w:jc w:val="both"/>
              <w:rPr>
                <w:sz w:val="23"/>
                <w:szCs w:val="23"/>
              </w:rPr>
            </w:pPr>
          </w:p>
        </w:tc>
      </w:tr>
      <w:tr w:rsidR="00775553" w:rsidRPr="001A1781" w14:paraId="0B9404BD" w14:textId="77777777" w:rsidTr="005B0632">
        <w:trPr>
          <w:trHeight w:val="510"/>
        </w:trPr>
        <w:tc>
          <w:tcPr>
            <w:tcW w:w="420" w:type="dxa"/>
            <w:hideMark/>
          </w:tcPr>
          <w:p w14:paraId="1249D792" w14:textId="77777777" w:rsidR="00775553" w:rsidRPr="001A1781" w:rsidRDefault="000949B6" w:rsidP="00775553">
            <w:pPr>
              <w:rPr>
                <w:b/>
                <w:bCs/>
                <w:sz w:val="23"/>
                <w:szCs w:val="23"/>
              </w:rPr>
            </w:pPr>
            <w:r>
              <w:rPr>
                <w:b/>
                <w:bCs/>
                <w:sz w:val="23"/>
                <w:szCs w:val="23"/>
              </w:rPr>
              <w:t>7</w:t>
            </w:r>
          </w:p>
        </w:tc>
        <w:tc>
          <w:tcPr>
            <w:tcW w:w="2963" w:type="dxa"/>
            <w:hideMark/>
          </w:tcPr>
          <w:p w14:paraId="35DFBA4E" w14:textId="77777777" w:rsidR="00775553" w:rsidRPr="001A1781" w:rsidRDefault="00775553" w:rsidP="00775553">
            <w:pPr>
              <w:jc w:val="both"/>
              <w:rPr>
                <w:sz w:val="23"/>
                <w:szCs w:val="23"/>
              </w:rPr>
            </w:pPr>
            <w:r w:rsidRPr="001A1781">
              <w:rPr>
                <w:sz w:val="23"/>
                <w:szCs w:val="23"/>
              </w:rPr>
              <w:t>Khen thưởng</w:t>
            </w:r>
          </w:p>
        </w:tc>
        <w:tc>
          <w:tcPr>
            <w:tcW w:w="2688" w:type="dxa"/>
            <w:hideMark/>
          </w:tcPr>
          <w:p w14:paraId="62FB1A00" w14:textId="77777777" w:rsidR="00775553" w:rsidRPr="001A1781" w:rsidRDefault="00775553" w:rsidP="00775553">
            <w:pPr>
              <w:jc w:val="both"/>
              <w:rPr>
                <w:sz w:val="23"/>
                <w:szCs w:val="23"/>
              </w:rPr>
            </w:pPr>
            <w:r w:rsidRPr="001A1781">
              <w:rPr>
                <w:sz w:val="23"/>
                <w:szCs w:val="23"/>
              </w:rPr>
              <w:t>Theo quy định của pháp luật về thi đua, khen thưởng</w:t>
            </w:r>
          </w:p>
        </w:tc>
        <w:tc>
          <w:tcPr>
            <w:tcW w:w="3685" w:type="dxa"/>
            <w:hideMark/>
          </w:tcPr>
          <w:p w14:paraId="56215FC5" w14:textId="77777777" w:rsidR="00775553" w:rsidRPr="001A1781" w:rsidRDefault="00775553" w:rsidP="00805F61">
            <w:pPr>
              <w:jc w:val="center"/>
              <w:rPr>
                <w:sz w:val="23"/>
                <w:szCs w:val="23"/>
              </w:rPr>
            </w:pPr>
            <w:r w:rsidRPr="001A1781">
              <w:rPr>
                <w:sz w:val="23"/>
                <w:szCs w:val="23"/>
              </w:rPr>
              <w:t>Không</w:t>
            </w:r>
          </w:p>
        </w:tc>
        <w:tc>
          <w:tcPr>
            <w:tcW w:w="2688" w:type="dxa"/>
            <w:hideMark/>
          </w:tcPr>
          <w:p w14:paraId="5963E660" w14:textId="77777777" w:rsidR="00775553" w:rsidRPr="001A1781" w:rsidRDefault="00775553" w:rsidP="00775553">
            <w:pPr>
              <w:jc w:val="both"/>
              <w:rPr>
                <w:sz w:val="23"/>
                <w:szCs w:val="23"/>
              </w:rPr>
            </w:pPr>
            <w:r w:rsidRPr="001A1781">
              <w:rPr>
                <w:sz w:val="23"/>
                <w:szCs w:val="23"/>
              </w:rPr>
              <w:t>Theo quy định của pháp luật về thi đua, khen thưởng</w:t>
            </w:r>
          </w:p>
        </w:tc>
        <w:tc>
          <w:tcPr>
            <w:tcW w:w="3002" w:type="dxa"/>
            <w:hideMark/>
          </w:tcPr>
          <w:p w14:paraId="6889DA99" w14:textId="77777777" w:rsidR="00775553" w:rsidRPr="001A1781" w:rsidRDefault="00775553" w:rsidP="00775553">
            <w:pPr>
              <w:jc w:val="both"/>
              <w:rPr>
                <w:sz w:val="23"/>
                <w:szCs w:val="23"/>
              </w:rPr>
            </w:pPr>
            <w:r w:rsidRPr="001A1781">
              <w:rPr>
                <w:sz w:val="23"/>
                <w:szCs w:val="23"/>
              </w:rPr>
              <w:t> </w:t>
            </w:r>
            <w:r w:rsidRPr="008F31B9">
              <w:rPr>
                <w:sz w:val="23"/>
                <w:szCs w:val="23"/>
              </w:rPr>
              <w:t xml:space="preserve">Kế thừa </w:t>
            </w:r>
            <w:r w:rsidR="00EF4830">
              <w:rPr>
                <w:rFonts w:cs="Times New Roman"/>
                <w:bCs/>
                <w:sz w:val="23"/>
                <w:szCs w:val="23"/>
              </w:rPr>
              <w:t>NQ</w:t>
            </w:r>
            <w:r w:rsidRPr="008F31B9">
              <w:rPr>
                <w:rFonts w:cs="Times New Roman"/>
                <w:bCs/>
                <w:sz w:val="23"/>
                <w:szCs w:val="23"/>
              </w:rPr>
              <w:t xml:space="preserve"> số 21/2022/NQ-HĐND ngày 12/9/2022 của HĐND tỉnh Quảng Ngãi</w:t>
            </w:r>
          </w:p>
        </w:tc>
      </w:tr>
      <w:tr w:rsidR="00775553" w:rsidRPr="001A1781" w14:paraId="75271D1A" w14:textId="77777777" w:rsidTr="005B0632">
        <w:trPr>
          <w:trHeight w:val="566"/>
        </w:trPr>
        <w:tc>
          <w:tcPr>
            <w:tcW w:w="420" w:type="dxa"/>
            <w:hideMark/>
          </w:tcPr>
          <w:p w14:paraId="48868261" w14:textId="77777777" w:rsidR="00775553" w:rsidRPr="001A1781" w:rsidRDefault="00775553" w:rsidP="00775553">
            <w:pPr>
              <w:rPr>
                <w:b/>
                <w:bCs/>
                <w:sz w:val="23"/>
                <w:szCs w:val="23"/>
              </w:rPr>
            </w:pPr>
            <w:r w:rsidRPr="001A1781">
              <w:rPr>
                <w:b/>
                <w:bCs/>
                <w:sz w:val="23"/>
                <w:szCs w:val="23"/>
              </w:rPr>
              <w:t>8</w:t>
            </w:r>
          </w:p>
        </w:tc>
        <w:tc>
          <w:tcPr>
            <w:tcW w:w="2963" w:type="dxa"/>
            <w:hideMark/>
          </w:tcPr>
          <w:p w14:paraId="6B449429" w14:textId="77777777" w:rsidR="00775553" w:rsidRPr="001A1781" w:rsidRDefault="00775553" w:rsidP="004527C6">
            <w:pPr>
              <w:jc w:val="both"/>
              <w:rPr>
                <w:sz w:val="23"/>
                <w:szCs w:val="23"/>
              </w:rPr>
            </w:pPr>
            <w:r w:rsidRPr="001A1781">
              <w:rPr>
                <w:sz w:val="23"/>
                <w:szCs w:val="23"/>
              </w:rPr>
              <w:t xml:space="preserve">Chi hỗ trợ để khuyến khích người dân vùng đồng bào dân tộc thiểu số </w:t>
            </w:r>
          </w:p>
        </w:tc>
        <w:tc>
          <w:tcPr>
            <w:tcW w:w="2688" w:type="dxa"/>
            <w:hideMark/>
          </w:tcPr>
          <w:p w14:paraId="40F4C954" w14:textId="77777777" w:rsidR="00775553" w:rsidRDefault="00775553" w:rsidP="00775553">
            <w:pPr>
              <w:jc w:val="both"/>
              <w:rPr>
                <w:sz w:val="23"/>
                <w:szCs w:val="23"/>
              </w:rPr>
            </w:pPr>
            <w:r w:rsidRPr="001A1781">
              <w:rPr>
                <w:sz w:val="23"/>
                <w:szCs w:val="23"/>
              </w:rPr>
              <w:t>Không</w:t>
            </w:r>
          </w:p>
          <w:p w14:paraId="09DC6CAB" w14:textId="77777777" w:rsidR="004527C6" w:rsidRPr="001A1781" w:rsidRDefault="004527C6" w:rsidP="004527C6">
            <w:pPr>
              <w:shd w:val="clear" w:color="auto" w:fill="FFFFFF"/>
              <w:spacing w:before="120" w:after="120" w:line="234" w:lineRule="atLeast"/>
              <w:rPr>
                <w:sz w:val="23"/>
                <w:szCs w:val="23"/>
              </w:rPr>
            </w:pPr>
          </w:p>
        </w:tc>
        <w:tc>
          <w:tcPr>
            <w:tcW w:w="3685" w:type="dxa"/>
            <w:noWrap/>
            <w:hideMark/>
          </w:tcPr>
          <w:p w14:paraId="684184BB" w14:textId="77777777" w:rsidR="00775553" w:rsidRPr="001A1781" w:rsidRDefault="00775553" w:rsidP="00775553">
            <w:pPr>
              <w:jc w:val="both"/>
              <w:rPr>
                <w:sz w:val="23"/>
                <w:szCs w:val="23"/>
              </w:rPr>
            </w:pPr>
            <w:r w:rsidRPr="001A1781">
              <w:rPr>
                <w:sz w:val="23"/>
                <w:szCs w:val="23"/>
              </w:rPr>
              <w:t xml:space="preserve">500.000 đồng/người/chương trình học. </w:t>
            </w:r>
          </w:p>
        </w:tc>
        <w:tc>
          <w:tcPr>
            <w:tcW w:w="2688" w:type="dxa"/>
            <w:noWrap/>
            <w:hideMark/>
          </w:tcPr>
          <w:p w14:paraId="348DE502" w14:textId="77777777" w:rsidR="00775553" w:rsidRDefault="00EF4830" w:rsidP="00775553">
            <w:pPr>
              <w:ind w:right="-132"/>
              <w:jc w:val="both"/>
              <w:rPr>
                <w:sz w:val="23"/>
                <w:szCs w:val="23"/>
              </w:rPr>
            </w:pPr>
            <w:bookmarkStart w:id="9" w:name="RANGE!E25"/>
            <w:r>
              <w:rPr>
                <w:sz w:val="23"/>
                <w:szCs w:val="23"/>
              </w:rPr>
              <w:t>500.000</w:t>
            </w:r>
            <w:r w:rsidR="00775553" w:rsidRPr="001A1781">
              <w:rPr>
                <w:sz w:val="23"/>
                <w:szCs w:val="23"/>
              </w:rPr>
              <w:t>đồng/ngườ</w:t>
            </w:r>
            <w:r w:rsidR="00386AD2">
              <w:rPr>
                <w:sz w:val="23"/>
                <w:szCs w:val="23"/>
              </w:rPr>
              <w:t>i (hoàn thành chương trình học)</w:t>
            </w:r>
            <w:r w:rsidR="00775553" w:rsidRPr="001A1781">
              <w:rPr>
                <w:sz w:val="23"/>
                <w:szCs w:val="23"/>
              </w:rPr>
              <w:t xml:space="preserve">. </w:t>
            </w:r>
            <w:bookmarkEnd w:id="9"/>
          </w:p>
          <w:p w14:paraId="429746DB" w14:textId="77777777" w:rsidR="004527C6" w:rsidRPr="001A1781" w:rsidRDefault="004527C6" w:rsidP="00775553">
            <w:pPr>
              <w:ind w:right="-132"/>
              <w:jc w:val="both"/>
              <w:rPr>
                <w:sz w:val="23"/>
                <w:szCs w:val="23"/>
              </w:rPr>
            </w:pPr>
            <w:r w:rsidRPr="001A1781">
              <w:rPr>
                <w:sz w:val="23"/>
                <w:szCs w:val="23"/>
              </w:rPr>
              <w:t xml:space="preserve">Chi hỗ trợ để khuyến khích người dân vùng đồng bào dân tộc thiểu số (theo Quyết </w:t>
            </w:r>
            <w:r w:rsidRPr="001A1781">
              <w:rPr>
                <w:sz w:val="23"/>
                <w:szCs w:val="23"/>
              </w:rPr>
              <w:lastRenderedPageBreak/>
              <w:t>định 25/QĐ-UBND ngày 16/01/2026 của Chủ tịch UBND tỉnh Quảng Ngãi Phê duyệt danh sách thôn vùng đồng bào dân tộc thiểu số và miền núi, thôn đặc biệt khó khăn; xã vùng đồng bào dân tộc thiểu số và miền núi, xã khu vực I, II, III giai đoạn 2026 - 2030 trên địa bàn tỉnh Quảng Ngãi) tham gia học xóa mù chữ</w:t>
            </w:r>
          </w:p>
        </w:tc>
        <w:tc>
          <w:tcPr>
            <w:tcW w:w="3002" w:type="dxa"/>
            <w:hideMark/>
          </w:tcPr>
          <w:p w14:paraId="40862430" w14:textId="77777777" w:rsidR="00775553" w:rsidRPr="003F4219" w:rsidRDefault="00775553" w:rsidP="00775553">
            <w:pPr>
              <w:ind w:right="-108"/>
              <w:jc w:val="both"/>
              <w:rPr>
                <w:sz w:val="23"/>
                <w:szCs w:val="23"/>
              </w:rPr>
            </w:pPr>
            <w:r w:rsidRPr="001A1781">
              <w:rPr>
                <w:sz w:val="23"/>
                <w:szCs w:val="23"/>
              </w:rPr>
              <w:lastRenderedPageBreak/>
              <w:t> </w:t>
            </w:r>
            <w:r w:rsidRPr="003F4219">
              <w:rPr>
                <w:sz w:val="23"/>
                <w:szCs w:val="23"/>
              </w:rPr>
              <w:t xml:space="preserve">Để phù hợp với chủ trương, chính sách của Đảng và Nhà nước, tạo điều kiện hỗ trợ để khuyến khích người dân vùng đồng bào dân tộc thiểu số tham </w:t>
            </w:r>
            <w:r w:rsidRPr="003F4219">
              <w:rPr>
                <w:sz w:val="23"/>
                <w:szCs w:val="23"/>
              </w:rPr>
              <w:lastRenderedPageBreak/>
              <w:t xml:space="preserve">gia học xóa mù chữ nên </w:t>
            </w:r>
            <w:r w:rsidR="004527C6">
              <w:rPr>
                <w:sz w:val="23"/>
                <w:szCs w:val="23"/>
              </w:rPr>
              <w:t>có</w:t>
            </w:r>
            <w:r w:rsidRPr="003F4219">
              <w:rPr>
                <w:sz w:val="23"/>
                <w:szCs w:val="23"/>
              </w:rPr>
              <w:t xml:space="preserve">mức chi </w:t>
            </w:r>
            <w:r w:rsidR="004527C6">
              <w:rPr>
                <w:sz w:val="23"/>
                <w:szCs w:val="23"/>
              </w:rPr>
              <w:t>h</w:t>
            </w:r>
            <w:r w:rsidR="00067D85">
              <w:rPr>
                <w:sz w:val="23"/>
                <w:szCs w:val="23"/>
              </w:rPr>
              <w:t>ỗ</w:t>
            </w:r>
            <w:r w:rsidR="004527C6">
              <w:rPr>
                <w:sz w:val="23"/>
                <w:szCs w:val="23"/>
              </w:rPr>
              <w:t xml:space="preserve"> trợ </w:t>
            </w:r>
            <w:r w:rsidRPr="003F4219">
              <w:rPr>
                <w:sz w:val="23"/>
                <w:szCs w:val="23"/>
              </w:rPr>
              <w:t xml:space="preserve">tại quy định </w:t>
            </w:r>
            <w:r w:rsidRPr="003F4219">
              <w:rPr>
                <w:bCs/>
                <w:sz w:val="23"/>
                <w:szCs w:val="23"/>
              </w:rPr>
              <w:t>Nghị quyết số 58/2022/NQ-HĐND ngày 29/8/2022 và số 97/2024/NQ-HĐND ngày 09/12/2024 của HĐND tỉnh Kon Tum</w:t>
            </w:r>
          </w:p>
        </w:tc>
      </w:tr>
    </w:tbl>
    <w:p w14:paraId="78945C36" w14:textId="77777777" w:rsidR="00DF51BC" w:rsidRPr="001A1781" w:rsidRDefault="00DF51BC">
      <w:pPr>
        <w:rPr>
          <w:sz w:val="23"/>
          <w:szCs w:val="23"/>
        </w:rPr>
      </w:pPr>
    </w:p>
    <w:sectPr w:rsidR="00DF51BC" w:rsidRPr="001A1781" w:rsidSect="000652D1">
      <w:pgSz w:w="16840" w:h="11907" w:orient="landscape" w:code="9"/>
      <w:pgMar w:top="1134" w:right="1134" w:bottom="1134" w:left="1134" w:header="425"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7DE89" w14:textId="77777777" w:rsidR="006F7521" w:rsidRDefault="006F7521" w:rsidP="002E74E9">
      <w:pPr>
        <w:spacing w:after="0" w:line="240" w:lineRule="auto"/>
      </w:pPr>
      <w:r>
        <w:separator/>
      </w:r>
    </w:p>
  </w:endnote>
  <w:endnote w:type="continuationSeparator" w:id="0">
    <w:p w14:paraId="2C06EE24" w14:textId="77777777" w:rsidR="006F7521" w:rsidRDefault="006F7521" w:rsidP="002E7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BAD4B" w14:textId="77777777" w:rsidR="006F7521" w:rsidRDefault="006F7521" w:rsidP="002E74E9">
      <w:pPr>
        <w:spacing w:after="0" w:line="240" w:lineRule="auto"/>
      </w:pPr>
      <w:r>
        <w:separator/>
      </w:r>
    </w:p>
  </w:footnote>
  <w:footnote w:type="continuationSeparator" w:id="0">
    <w:p w14:paraId="71F0CC1C" w14:textId="77777777" w:rsidR="006F7521" w:rsidRDefault="006F7521" w:rsidP="002E74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63A6E"/>
    <w:multiLevelType w:val="hybridMultilevel"/>
    <w:tmpl w:val="A128F3E4"/>
    <w:lvl w:ilvl="0" w:tplc="30FCBB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53"/>
    <w:rsid w:val="00004E00"/>
    <w:rsid w:val="00013992"/>
    <w:rsid w:val="000234B6"/>
    <w:rsid w:val="00026635"/>
    <w:rsid w:val="000314C8"/>
    <w:rsid w:val="00040BA1"/>
    <w:rsid w:val="000622F7"/>
    <w:rsid w:val="000652D1"/>
    <w:rsid w:val="00067D85"/>
    <w:rsid w:val="000949B6"/>
    <w:rsid w:val="000A3E5E"/>
    <w:rsid w:val="000B3242"/>
    <w:rsid w:val="00147A7B"/>
    <w:rsid w:val="001675E0"/>
    <w:rsid w:val="00181468"/>
    <w:rsid w:val="00181A4A"/>
    <w:rsid w:val="00187279"/>
    <w:rsid w:val="001A1781"/>
    <w:rsid w:val="001A531F"/>
    <w:rsid w:val="001A6C19"/>
    <w:rsid w:val="001B0807"/>
    <w:rsid w:val="001C4241"/>
    <w:rsid w:val="001D4936"/>
    <w:rsid w:val="002018ED"/>
    <w:rsid w:val="00221FE7"/>
    <w:rsid w:val="00246FA9"/>
    <w:rsid w:val="002A134D"/>
    <w:rsid w:val="002E74E9"/>
    <w:rsid w:val="00313EED"/>
    <w:rsid w:val="00316986"/>
    <w:rsid w:val="00326207"/>
    <w:rsid w:val="003526DA"/>
    <w:rsid w:val="003729F7"/>
    <w:rsid w:val="00381D5B"/>
    <w:rsid w:val="00386AD2"/>
    <w:rsid w:val="003A3E50"/>
    <w:rsid w:val="003B4979"/>
    <w:rsid w:val="003F4219"/>
    <w:rsid w:val="003F4E55"/>
    <w:rsid w:val="00407B7F"/>
    <w:rsid w:val="00415DDF"/>
    <w:rsid w:val="00427B59"/>
    <w:rsid w:val="004527C6"/>
    <w:rsid w:val="00473968"/>
    <w:rsid w:val="00495F83"/>
    <w:rsid w:val="004962B3"/>
    <w:rsid w:val="004A50C7"/>
    <w:rsid w:val="004C2239"/>
    <w:rsid w:val="004E6262"/>
    <w:rsid w:val="004F534D"/>
    <w:rsid w:val="005144BE"/>
    <w:rsid w:val="00523491"/>
    <w:rsid w:val="00576E6E"/>
    <w:rsid w:val="00590ACB"/>
    <w:rsid w:val="005A3D0A"/>
    <w:rsid w:val="005B0632"/>
    <w:rsid w:val="005C6A78"/>
    <w:rsid w:val="00601192"/>
    <w:rsid w:val="006167A2"/>
    <w:rsid w:val="006C33C6"/>
    <w:rsid w:val="006D0CB6"/>
    <w:rsid w:val="006D2E95"/>
    <w:rsid w:val="006F7521"/>
    <w:rsid w:val="00707C4A"/>
    <w:rsid w:val="007466A8"/>
    <w:rsid w:val="00751D9F"/>
    <w:rsid w:val="00775553"/>
    <w:rsid w:val="007800B8"/>
    <w:rsid w:val="007831DE"/>
    <w:rsid w:val="00792416"/>
    <w:rsid w:val="007C78A3"/>
    <w:rsid w:val="007D39F8"/>
    <w:rsid w:val="007D4400"/>
    <w:rsid w:val="007E5B62"/>
    <w:rsid w:val="00805F61"/>
    <w:rsid w:val="00810A53"/>
    <w:rsid w:val="008151B9"/>
    <w:rsid w:val="00817066"/>
    <w:rsid w:val="00842BB1"/>
    <w:rsid w:val="00865DD9"/>
    <w:rsid w:val="008B0599"/>
    <w:rsid w:val="008B543C"/>
    <w:rsid w:val="008E7FDF"/>
    <w:rsid w:val="008F31B9"/>
    <w:rsid w:val="008F33F3"/>
    <w:rsid w:val="0090440E"/>
    <w:rsid w:val="00967E41"/>
    <w:rsid w:val="00975A63"/>
    <w:rsid w:val="009902E0"/>
    <w:rsid w:val="00996C2D"/>
    <w:rsid w:val="009D30C2"/>
    <w:rsid w:val="009D3F9C"/>
    <w:rsid w:val="00A467EF"/>
    <w:rsid w:val="00A6032A"/>
    <w:rsid w:val="00A62C16"/>
    <w:rsid w:val="00A9505C"/>
    <w:rsid w:val="00A950D7"/>
    <w:rsid w:val="00AC7F74"/>
    <w:rsid w:val="00B17EE5"/>
    <w:rsid w:val="00B66CBA"/>
    <w:rsid w:val="00B96CA4"/>
    <w:rsid w:val="00B97010"/>
    <w:rsid w:val="00BA6049"/>
    <w:rsid w:val="00C026EB"/>
    <w:rsid w:val="00C4465D"/>
    <w:rsid w:val="00C7557C"/>
    <w:rsid w:val="00C952A9"/>
    <w:rsid w:val="00CC5D71"/>
    <w:rsid w:val="00CD463B"/>
    <w:rsid w:val="00D04977"/>
    <w:rsid w:val="00D11DA1"/>
    <w:rsid w:val="00D61DBE"/>
    <w:rsid w:val="00D62AD6"/>
    <w:rsid w:val="00D94C72"/>
    <w:rsid w:val="00DF51BC"/>
    <w:rsid w:val="00E1662E"/>
    <w:rsid w:val="00E26FE7"/>
    <w:rsid w:val="00E410A7"/>
    <w:rsid w:val="00E62AF9"/>
    <w:rsid w:val="00E66C20"/>
    <w:rsid w:val="00E71367"/>
    <w:rsid w:val="00E7493E"/>
    <w:rsid w:val="00EC2177"/>
    <w:rsid w:val="00EF4830"/>
    <w:rsid w:val="00F04290"/>
    <w:rsid w:val="00F3153F"/>
    <w:rsid w:val="00F7256E"/>
    <w:rsid w:val="00F9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0E7A3"/>
  <w15:chartTrackingRefBased/>
  <w15:docId w15:val="{3F7EB62E-D8E6-4DCD-B7D1-4D222CEC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7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4E9"/>
  </w:style>
  <w:style w:type="paragraph" w:styleId="Footer">
    <w:name w:val="footer"/>
    <w:basedOn w:val="Normal"/>
    <w:link w:val="FooterChar"/>
    <w:uiPriority w:val="99"/>
    <w:unhideWhenUsed/>
    <w:rsid w:val="002E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4E9"/>
  </w:style>
  <w:style w:type="character" w:customStyle="1" w:styleId="fontstyle01">
    <w:name w:val="fontstyle01"/>
    <w:basedOn w:val="DefaultParagraphFont"/>
    <w:rsid w:val="001B0807"/>
    <w:rPr>
      <w:rFonts w:ascii="TimesNewRomanPSMT" w:hAnsi="TimesNewRomanPSMT" w:hint="default"/>
      <w:b w:val="0"/>
      <w:bCs w:val="0"/>
      <w:i w:val="0"/>
      <w:iCs w:val="0"/>
      <w:color w:val="000000"/>
      <w:sz w:val="16"/>
      <w:szCs w:val="16"/>
    </w:rPr>
  </w:style>
  <w:style w:type="character" w:customStyle="1" w:styleId="fontstyle21">
    <w:name w:val="fontstyle21"/>
    <w:basedOn w:val="DefaultParagraphFont"/>
    <w:rsid w:val="000622F7"/>
    <w:rPr>
      <w:rFonts w:ascii="TimesNewRomanPS-BoldMT" w:hAnsi="TimesNewRomanPS-BoldMT" w:hint="default"/>
      <w:b/>
      <w:bCs/>
      <w:i w:val="0"/>
      <w:iCs w:val="0"/>
      <w:color w:val="000000"/>
      <w:sz w:val="22"/>
      <w:szCs w:val="22"/>
    </w:rPr>
  </w:style>
  <w:style w:type="character" w:styleId="Emphasis">
    <w:name w:val="Emphasis"/>
    <w:basedOn w:val="DefaultParagraphFont"/>
    <w:uiPriority w:val="20"/>
    <w:qFormat/>
    <w:rsid w:val="00707C4A"/>
    <w:rPr>
      <w:i/>
      <w:iCs/>
    </w:rPr>
  </w:style>
  <w:style w:type="paragraph" w:styleId="NormalWeb">
    <w:name w:val="Normal (Web)"/>
    <w:basedOn w:val="Normal"/>
    <w:uiPriority w:val="99"/>
    <w:semiHidden/>
    <w:unhideWhenUsed/>
    <w:rsid w:val="00707C4A"/>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9D3F9C"/>
    <w:pPr>
      <w:ind w:left="720"/>
      <w:contextualSpacing/>
    </w:pPr>
  </w:style>
  <w:style w:type="paragraph" w:styleId="BodyText3">
    <w:name w:val="Body Text 3"/>
    <w:basedOn w:val="Normal"/>
    <w:link w:val="BodyText3Char"/>
    <w:rsid w:val="000234B6"/>
    <w:pPr>
      <w:spacing w:after="0" w:line="240" w:lineRule="auto"/>
      <w:jc w:val="center"/>
    </w:pPr>
    <w:rPr>
      <w:rFonts w:ascii=".VnTime" w:eastAsia="Times New Roman" w:hAnsi=".VnTime" w:cs="Times New Roman"/>
      <w:b/>
      <w:sz w:val="20"/>
      <w:szCs w:val="24"/>
      <w:lang w:val="x-none" w:eastAsia="x-none"/>
    </w:rPr>
  </w:style>
  <w:style w:type="character" w:customStyle="1" w:styleId="BodyText3Char">
    <w:name w:val="Body Text 3 Char"/>
    <w:basedOn w:val="DefaultParagraphFont"/>
    <w:link w:val="BodyText3"/>
    <w:rsid w:val="000234B6"/>
    <w:rPr>
      <w:rFonts w:ascii=".VnTime" w:eastAsia="Times New Roman" w:hAnsi=".VnTime" w:cs="Times New Roman"/>
      <w:b/>
      <w:sz w:val="20"/>
      <w:szCs w:val="24"/>
      <w:lang w:val="x-none" w:eastAsia="x-none"/>
    </w:rPr>
  </w:style>
  <w:style w:type="character" w:customStyle="1" w:styleId="Other">
    <w:name w:val="Other_"/>
    <w:link w:val="Other0"/>
    <w:rsid w:val="00E7493E"/>
    <w:rPr>
      <w:rFonts w:eastAsia="Times New Roman"/>
      <w:sz w:val="26"/>
      <w:szCs w:val="26"/>
    </w:rPr>
  </w:style>
  <w:style w:type="paragraph" w:customStyle="1" w:styleId="Other0">
    <w:name w:val="Other"/>
    <w:basedOn w:val="Normal"/>
    <w:link w:val="Other"/>
    <w:rsid w:val="00E7493E"/>
    <w:pPr>
      <w:widowControl w:val="0"/>
      <w:spacing w:after="100"/>
      <w:ind w:firstLine="400"/>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6161">
      <w:bodyDiv w:val="1"/>
      <w:marLeft w:val="0"/>
      <w:marRight w:val="0"/>
      <w:marTop w:val="0"/>
      <w:marBottom w:val="0"/>
      <w:divBdr>
        <w:top w:val="none" w:sz="0" w:space="0" w:color="auto"/>
        <w:left w:val="none" w:sz="0" w:space="0" w:color="auto"/>
        <w:bottom w:val="none" w:sz="0" w:space="0" w:color="auto"/>
        <w:right w:val="none" w:sz="0" w:space="0" w:color="auto"/>
      </w:divBdr>
    </w:div>
    <w:div w:id="41641384">
      <w:bodyDiv w:val="1"/>
      <w:marLeft w:val="0"/>
      <w:marRight w:val="0"/>
      <w:marTop w:val="0"/>
      <w:marBottom w:val="0"/>
      <w:divBdr>
        <w:top w:val="none" w:sz="0" w:space="0" w:color="auto"/>
        <w:left w:val="none" w:sz="0" w:space="0" w:color="auto"/>
        <w:bottom w:val="none" w:sz="0" w:space="0" w:color="auto"/>
        <w:right w:val="none" w:sz="0" w:space="0" w:color="auto"/>
      </w:divBdr>
    </w:div>
    <w:div w:id="132217696">
      <w:bodyDiv w:val="1"/>
      <w:marLeft w:val="0"/>
      <w:marRight w:val="0"/>
      <w:marTop w:val="0"/>
      <w:marBottom w:val="0"/>
      <w:divBdr>
        <w:top w:val="none" w:sz="0" w:space="0" w:color="auto"/>
        <w:left w:val="none" w:sz="0" w:space="0" w:color="auto"/>
        <w:bottom w:val="none" w:sz="0" w:space="0" w:color="auto"/>
        <w:right w:val="none" w:sz="0" w:space="0" w:color="auto"/>
      </w:divBdr>
    </w:div>
    <w:div w:id="351106682">
      <w:bodyDiv w:val="1"/>
      <w:marLeft w:val="0"/>
      <w:marRight w:val="0"/>
      <w:marTop w:val="0"/>
      <w:marBottom w:val="0"/>
      <w:divBdr>
        <w:top w:val="none" w:sz="0" w:space="0" w:color="auto"/>
        <w:left w:val="none" w:sz="0" w:space="0" w:color="auto"/>
        <w:bottom w:val="none" w:sz="0" w:space="0" w:color="auto"/>
        <w:right w:val="none" w:sz="0" w:space="0" w:color="auto"/>
      </w:divBdr>
    </w:div>
    <w:div w:id="631399692">
      <w:bodyDiv w:val="1"/>
      <w:marLeft w:val="0"/>
      <w:marRight w:val="0"/>
      <w:marTop w:val="0"/>
      <w:marBottom w:val="0"/>
      <w:divBdr>
        <w:top w:val="none" w:sz="0" w:space="0" w:color="auto"/>
        <w:left w:val="none" w:sz="0" w:space="0" w:color="auto"/>
        <w:bottom w:val="none" w:sz="0" w:space="0" w:color="auto"/>
        <w:right w:val="none" w:sz="0" w:space="0" w:color="auto"/>
      </w:divBdr>
    </w:div>
    <w:div w:id="841313490">
      <w:bodyDiv w:val="1"/>
      <w:marLeft w:val="0"/>
      <w:marRight w:val="0"/>
      <w:marTop w:val="0"/>
      <w:marBottom w:val="0"/>
      <w:divBdr>
        <w:top w:val="none" w:sz="0" w:space="0" w:color="auto"/>
        <w:left w:val="none" w:sz="0" w:space="0" w:color="auto"/>
        <w:bottom w:val="none" w:sz="0" w:space="0" w:color="auto"/>
        <w:right w:val="none" w:sz="0" w:space="0" w:color="auto"/>
      </w:divBdr>
    </w:div>
    <w:div w:id="893272302">
      <w:bodyDiv w:val="1"/>
      <w:marLeft w:val="0"/>
      <w:marRight w:val="0"/>
      <w:marTop w:val="0"/>
      <w:marBottom w:val="0"/>
      <w:divBdr>
        <w:top w:val="none" w:sz="0" w:space="0" w:color="auto"/>
        <w:left w:val="none" w:sz="0" w:space="0" w:color="auto"/>
        <w:bottom w:val="none" w:sz="0" w:space="0" w:color="auto"/>
        <w:right w:val="none" w:sz="0" w:space="0" w:color="auto"/>
      </w:divBdr>
    </w:div>
    <w:div w:id="1123504879">
      <w:bodyDiv w:val="1"/>
      <w:marLeft w:val="0"/>
      <w:marRight w:val="0"/>
      <w:marTop w:val="0"/>
      <w:marBottom w:val="0"/>
      <w:divBdr>
        <w:top w:val="none" w:sz="0" w:space="0" w:color="auto"/>
        <w:left w:val="none" w:sz="0" w:space="0" w:color="auto"/>
        <w:bottom w:val="none" w:sz="0" w:space="0" w:color="auto"/>
        <w:right w:val="none" w:sz="0" w:space="0" w:color="auto"/>
      </w:divBdr>
    </w:div>
    <w:div w:id="1177186280">
      <w:bodyDiv w:val="1"/>
      <w:marLeft w:val="0"/>
      <w:marRight w:val="0"/>
      <w:marTop w:val="0"/>
      <w:marBottom w:val="0"/>
      <w:divBdr>
        <w:top w:val="none" w:sz="0" w:space="0" w:color="auto"/>
        <w:left w:val="none" w:sz="0" w:space="0" w:color="auto"/>
        <w:bottom w:val="none" w:sz="0" w:space="0" w:color="auto"/>
        <w:right w:val="none" w:sz="0" w:space="0" w:color="auto"/>
      </w:divBdr>
    </w:div>
    <w:div w:id="1269460209">
      <w:bodyDiv w:val="1"/>
      <w:marLeft w:val="0"/>
      <w:marRight w:val="0"/>
      <w:marTop w:val="0"/>
      <w:marBottom w:val="0"/>
      <w:divBdr>
        <w:top w:val="none" w:sz="0" w:space="0" w:color="auto"/>
        <w:left w:val="none" w:sz="0" w:space="0" w:color="auto"/>
        <w:bottom w:val="none" w:sz="0" w:space="0" w:color="auto"/>
        <w:right w:val="none" w:sz="0" w:space="0" w:color="auto"/>
      </w:divBdr>
    </w:div>
    <w:div w:id="1395280303">
      <w:bodyDiv w:val="1"/>
      <w:marLeft w:val="0"/>
      <w:marRight w:val="0"/>
      <w:marTop w:val="0"/>
      <w:marBottom w:val="0"/>
      <w:divBdr>
        <w:top w:val="none" w:sz="0" w:space="0" w:color="auto"/>
        <w:left w:val="none" w:sz="0" w:space="0" w:color="auto"/>
        <w:bottom w:val="none" w:sz="0" w:space="0" w:color="auto"/>
        <w:right w:val="none" w:sz="0" w:space="0" w:color="auto"/>
      </w:divBdr>
    </w:div>
    <w:div w:id="1462532825">
      <w:bodyDiv w:val="1"/>
      <w:marLeft w:val="0"/>
      <w:marRight w:val="0"/>
      <w:marTop w:val="0"/>
      <w:marBottom w:val="0"/>
      <w:divBdr>
        <w:top w:val="none" w:sz="0" w:space="0" w:color="auto"/>
        <w:left w:val="none" w:sz="0" w:space="0" w:color="auto"/>
        <w:bottom w:val="none" w:sz="0" w:space="0" w:color="auto"/>
        <w:right w:val="none" w:sz="0" w:space="0" w:color="auto"/>
      </w:divBdr>
    </w:div>
    <w:div w:id="1895389316">
      <w:bodyDiv w:val="1"/>
      <w:marLeft w:val="0"/>
      <w:marRight w:val="0"/>
      <w:marTop w:val="0"/>
      <w:marBottom w:val="0"/>
      <w:divBdr>
        <w:top w:val="none" w:sz="0" w:space="0" w:color="auto"/>
        <w:left w:val="none" w:sz="0" w:space="0" w:color="auto"/>
        <w:bottom w:val="none" w:sz="0" w:space="0" w:color="auto"/>
        <w:right w:val="none" w:sz="0" w:space="0" w:color="auto"/>
      </w:divBdr>
    </w:div>
    <w:div w:id="1944141392">
      <w:bodyDiv w:val="1"/>
      <w:marLeft w:val="0"/>
      <w:marRight w:val="0"/>
      <w:marTop w:val="0"/>
      <w:marBottom w:val="0"/>
      <w:divBdr>
        <w:top w:val="none" w:sz="0" w:space="0" w:color="auto"/>
        <w:left w:val="none" w:sz="0" w:space="0" w:color="auto"/>
        <w:bottom w:val="none" w:sz="0" w:space="0" w:color="auto"/>
        <w:right w:val="none" w:sz="0" w:space="0" w:color="auto"/>
      </w:divBdr>
    </w:div>
    <w:div w:id="204721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quyet-dinh-1373-qd-ttg-2021-de-an-xay-dung-xa-hoi-hoc-tap-2021-2030-483017.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tai-chinh-nha-nuoc/thong-tu-17-2022-tt-btc-quan-ly-kinh-phi-thuc-hien-de-an-xay-dung-xa-hoi-hoc-tap-506115.aspx" TargetMode="External"/><Relationship Id="rId12" Type="http://schemas.openxmlformats.org/officeDocument/2006/relationships/hyperlink" Target="https://thuvienphapluat.vn/van-ban/giao-duc/quyet-dinh-1373-qd-ttg-2021-de-an-xay-dung-xa-hoi-hoc-tap-2021-2030-48301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bo-may-hanh-chinh/thong-tu-55-2023-tt-btc-quan-ly-kinh-phi-su-nghiep-thuc-hien-cac-chuong-trinh-muc-tieu-quoc-gia-575944.aspx" TargetMode="External"/><Relationship Id="rId5" Type="http://schemas.openxmlformats.org/officeDocument/2006/relationships/footnotes" Target="footnotes.xml"/><Relationship Id="rId10" Type="http://schemas.openxmlformats.org/officeDocument/2006/relationships/hyperlink" Target="https://thuvienphapluat.vn/van-ban/thuong-mai/thong-tu-15-2022-tt-btc-su-dung-kinh-phi-thuc-hien-phat-trien-kinh-te-xa-hoi-vung-dan-toc-thieu-so-507026.aspx" TargetMode="External"/><Relationship Id="rId4" Type="http://schemas.openxmlformats.org/officeDocument/2006/relationships/webSettings" Target="webSettings.xml"/><Relationship Id="rId9" Type="http://schemas.openxmlformats.org/officeDocument/2006/relationships/hyperlink" Target="https://thuvienphapluat.vn/van-ban/giao-duc/thong-tu-10-2022-tt-bgddt-danh-gia-hoc-vien-hoc-chuong-trinh-xoa-mu-chu-523346.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10</Pages>
  <Words>3447</Words>
  <Characters>19652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COMPUTER</cp:lastModifiedBy>
  <cp:revision>29</cp:revision>
  <dcterms:created xsi:type="dcterms:W3CDTF">2026-03-05T13:30:00Z</dcterms:created>
  <dcterms:modified xsi:type="dcterms:W3CDTF">2026-04-03T11:11:00Z</dcterms:modified>
</cp:coreProperties>
</file>